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FA986" w14:textId="24F2FA46" w:rsidR="0050007F" w:rsidRPr="001F6103" w:rsidRDefault="0050007F" w:rsidP="0050007F">
      <w:pPr>
        <w:pStyle w:val="CH"/>
        <w:rPr>
          <w:b w:val="0"/>
        </w:rPr>
      </w:pPr>
      <w:r w:rsidRPr="001F6103">
        <w:rPr>
          <w:b w:val="0"/>
        </w:rPr>
        <w:t>3GPP RAN WG4 Meeting #9</w:t>
      </w:r>
      <w:r>
        <w:rPr>
          <w:b w:val="0"/>
        </w:rPr>
        <w:t>4-e</w:t>
      </w:r>
      <w:r w:rsidR="00254B56">
        <w:rPr>
          <w:b w:val="0"/>
        </w:rPr>
        <w:t>-Bis</w:t>
      </w:r>
      <w:r w:rsidRPr="001F6103">
        <w:rPr>
          <w:b w:val="0"/>
        </w:rPr>
        <w:tab/>
      </w:r>
      <w:r w:rsidRPr="001F6103">
        <w:rPr>
          <w:b w:val="0"/>
        </w:rPr>
        <w:tab/>
      </w:r>
      <w:r w:rsidRPr="00570C96">
        <w:rPr>
          <w:b w:val="0"/>
        </w:rPr>
        <w:t>R4-</w:t>
      </w:r>
      <w:r w:rsidR="00AA61A6">
        <w:rPr>
          <w:b w:val="0"/>
        </w:rPr>
        <w:t>2003351</w:t>
      </w:r>
    </w:p>
    <w:p w14:paraId="33674FB3" w14:textId="77777777" w:rsidR="00E25574" w:rsidRPr="00140D0B" w:rsidRDefault="00254B56" w:rsidP="0050007F">
      <w:pPr>
        <w:pStyle w:val="CH"/>
        <w:rPr>
          <w:lang w:val="en-US"/>
        </w:rPr>
      </w:pPr>
      <w:r>
        <w:rPr>
          <w:b w:val="0"/>
        </w:rPr>
        <w:t>Electronic Meeting</w:t>
      </w:r>
      <w:r w:rsidR="0050007F">
        <w:rPr>
          <w:b w:val="0"/>
        </w:rPr>
        <w:t>,</w:t>
      </w:r>
      <w:r w:rsidR="0050007F" w:rsidRPr="001F6103">
        <w:rPr>
          <w:b w:val="0"/>
        </w:rPr>
        <w:t xml:space="preserve"> </w:t>
      </w:r>
      <w:r>
        <w:rPr>
          <w:b w:val="0"/>
        </w:rPr>
        <w:t>20</w:t>
      </w:r>
      <w:r w:rsidR="0050007F" w:rsidRPr="0050007F">
        <w:rPr>
          <w:b w:val="0"/>
          <w:vertAlign w:val="superscript"/>
        </w:rPr>
        <w:t>th</w:t>
      </w:r>
      <w:r>
        <w:rPr>
          <w:b w:val="0"/>
          <w:vertAlign w:val="superscript"/>
        </w:rPr>
        <w:t xml:space="preserve"> </w:t>
      </w:r>
      <w:r w:rsidR="0050007F">
        <w:rPr>
          <w:b w:val="0"/>
        </w:rPr>
        <w:t>–</w:t>
      </w:r>
      <w:r w:rsidR="0050007F" w:rsidRPr="001F6103">
        <w:rPr>
          <w:b w:val="0"/>
        </w:rPr>
        <w:t xml:space="preserve"> </w:t>
      </w:r>
      <w:r>
        <w:rPr>
          <w:b w:val="0"/>
        </w:rPr>
        <w:t>30</w:t>
      </w:r>
      <w:r w:rsidR="0050007F" w:rsidRPr="0050007F">
        <w:rPr>
          <w:b w:val="0"/>
          <w:vertAlign w:val="superscript"/>
        </w:rPr>
        <w:t>th</w:t>
      </w:r>
      <w:r w:rsidR="0050007F">
        <w:rPr>
          <w:b w:val="0"/>
        </w:rPr>
        <w:t xml:space="preserve"> </w:t>
      </w:r>
      <w:r>
        <w:rPr>
          <w:b w:val="0"/>
        </w:rPr>
        <w:t>April</w:t>
      </w:r>
      <w:r w:rsidR="0050007F" w:rsidRPr="001F6103">
        <w:rPr>
          <w:b w:val="0"/>
        </w:rPr>
        <w:t xml:space="preserve"> 20</w:t>
      </w:r>
      <w:r w:rsidR="0050007F">
        <w:rPr>
          <w:b w:val="0"/>
        </w:rPr>
        <w:t>20</w:t>
      </w:r>
      <w:r w:rsidR="00E25574" w:rsidRPr="00140D0B">
        <w:rPr>
          <w:lang w:val="en-US"/>
        </w:rPr>
        <w:tab/>
      </w:r>
    </w:p>
    <w:p w14:paraId="1D694D96" w14:textId="77777777" w:rsidR="00E25574" w:rsidRPr="00140D0B" w:rsidRDefault="00E25574" w:rsidP="000230B3">
      <w:pPr>
        <w:spacing w:after="120"/>
        <w:ind w:left="1985" w:hanging="1985"/>
        <w:jc w:val="both"/>
        <w:rPr>
          <w:rFonts w:ascii="Arial" w:hAnsi="Arial" w:cs="Arial"/>
          <w:b/>
          <w:lang w:val="en-US"/>
        </w:rPr>
      </w:pPr>
    </w:p>
    <w:p w14:paraId="6BD238E0" w14:textId="77777777" w:rsidR="00CA3A81" w:rsidRPr="00067882" w:rsidRDefault="00CA3A81" w:rsidP="000230B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8B6DDE">
        <w:rPr>
          <w:rFonts w:ascii="Arial" w:hAnsi="Arial" w:cs="Arial"/>
          <w:bCs/>
          <w:lang w:val="en-US"/>
        </w:rPr>
        <w:t>SONY</w:t>
      </w:r>
      <w:r w:rsidR="003D581B" w:rsidRPr="00F85C96">
        <w:rPr>
          <w:rFonts w:ascii="Arial" w:hAnsi="Arial" w:cs="Arial"/>
          <w:bCs/>
          <w:lang w:val="en-US"/>
        </w:rPr>
        <w:t xml:space="preserve"> </w:t>
      </w:r>
    </w:p>
    <w:p w14:paraId="7ADCCADA" w14:textId="77777777" w:rsidR="00496D18" w:rsidRDefault="00CA3A81" w:rsidP="000230B3">
      <w:pPr>
        <w:spacing w:after="120"/>
        <w:ind w:left="1985" w:hanging="1985"/>
        <w:jc w:val="both"/>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713F1E">
        <w:rPr>
          <w:rFonts w:ascii="Arial" w:hAnsi="Arial" w:cs="Arial"/>
          <w:lang w:val="en-US"/>
        </w:rPr>
        <w:t xml:space="preserve">Views </w:t>
      </w:r>
      <w:r w:rsidR="00DB41F8">
        <w:rPr>
          <w:rFonts w:ascii="Arial" w:hAnsi="Arial" w:cs="Arial"/>
          <w:lang w:val="en-US"/>
        </w:rPr>
        <w:t xml:space="preserve">on improvement to </w:t>
      </w:r>
      <w:r w:rsidR="00F9614E">
        <w:rPr>
          <w:rFonts w:ascii="Arial" w:hAnsi="Arial" w:cs="Arial"/>
          <w:lang w:val="en-US"/>
        </w:rPr>
        <w:t xml:space="preserve">spherical coverage </w:t>
      </w:r>
      <w:r w:rsidR="00DB41F8">
        <w:rPr>
          <w:rFonts w:ascii="Arial" w:hAnsi="Arial" w:cs="Arial"/>
          <w:lang w:val="en-US"/>
        </w:rPr>
        <w:t>requirements for PC3</w:t>
      </w:r>
    </w:p>
    <w:p w14:paraId="035F198A" w14:textId="77777777" w:rsidR="00CA3A81" w:rsidRPr="00BF2681" w:rsidRDefault="00CA3A81" w:rsidP="000230B3">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254B56">
        <w:rPr>
          <w:rFonts w:ascii="Arial" w:hAnsi="Arial" w:cs="Arial"/>
          <w:lang w:val="en-US"/>
        </w:rPr>
        <w:t>6</w:t>
      </w:r>
      <w:r w:rsidR="00971AA0">
        <w:rPr>
          <w:rFonts w:ascii="Arial" w:hAnsi="Arial" w:cs="Arial"/>
          <w:lang w:val="en-US"/>
        </w:rPr>
        <w:t>.14.1.</w:t>
      </w:r>
      <w:r w:rsidR="00254B56">
        <w:rPr>
          <w:rFonts w:ascii="Arial" w:hAnsi="Arial" w:cs="Arial"/>
          <w:lang w:val="en-US"/>
        </w:rPr>
        <w:t>7</w:t>
      </w:r>
    </w:p>
    <w:p w14:paraId="72637ED9" w14:textId="77777777" w:rsidR="00CA3A81" w:rsidRPr="00540357" w:rsidRDefault="00CA3A81" w:rsidP="000230B3">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BF0838">
        <w:rPr>
          <w:rFonts w:ascii="Arial" w:hAnsi="Arial" w:cs="Arial"/>
          <w:bCs/>
          <w:lang w:val="en-US"/>
        </w:rPr>
        <w:t>Dis</w:t>
      </w:r>
      <w:r w:rsidR="00023645">
        <w:rPr>
          <w:rFonts w:ascii="Arial" w:hAnsi="Arial" w:cs="Arial"/>
          <w:bCs/>
          <w:lang w:val="en-US"/>
        </w:rPr>
        <w:t>cussion</w:t>
      </w:r>
    </w:p>
    <w:p w14:paraId="6E06421E" w14:textId="77777777" w:rsidR="00CA3A81" w:rsidRPr="00540357" w:rsidRDefault="00CA3A81" w:rsidP="000230B3">
      <w:pPr>
        <w:pBdr>
          <w:bottom w:val="single" w:sz="4" w:space="0" w:color="auto"/>
        </w:pBdr>
        <w:jc w:val="both"/>
        <w:rPr>
          <w:rFonts w:ascii="Arial" w:hAnsi="Arial" w:cs="Arial"/>
          <w:lang w:val="en-US"/>
        </w:rPr>
      </w:pPr>
    </w:p>
    <w:p w14:paraId="01235956" w14:textId="77777777" w:rsidR="00CA3A81" w:rsidRPr="00540357" w:rsidRDefault="00CA3A81" w:rsidP="000230B3">
      <w:pPr>
        <w:jc w:val="both"/>
        <w:rPr>
          <w:rFonts w:ascii="Arial" w:hAnsi="Arial" w:cs="Arial"/>
          <w:lang w:val="en-US"/>
        </w:rPr>
      </w:pPr>
    </w:p>
    <w:p w14:paraId="4426E307" w14:textId="77777777" w:rsidR="00AA2C32" w:rsidRPr="00AA2C32" w:rsidRDefault="000C5FAC" w:rsidP="000230B3">
      <w:pPr>
        <w:pStyle w:val="Heading1"/>
        <w:jc w:val="both"/>
        <w:rPr>
          <w:lang w:val="en-US"/>
        </w:rPr>
      </w:pPr>
      <w:r>
        <w:rPr>
          <w:lang w:val="en-US"/>
        </w:rPr>
        <w:t>Background</w:t>
      </w:r>
    </w:p>
    <w:p w14:paraId="22E05285" w14:textId="5F38967F" w:rsidR="0081108F" w:rsidRDefault="0081108F" w:rsidP="000230B3">
      <w:pPr>
        <w:pStyle w:val="BodyText"/>
        <w:jc w:val="both"/>
        <w:rPr>
          <w:lang w:val="en-US"/>
        </w:rPr>
      </w:pPr>
      <w:r>
        <w:rPr>
          <w:lang w:val="en-US"/>
        </w:rPr>
        <w:t xml:space="preserve">In RAN4 #93 </w:t>
      </w:r>
      <w:r>
        <w:rPr>
          <w:lang w:val="en-US"/>
        </w:rPr>
        <w:fldChar w:fldCharType="begin"/>
      </w:r>
      <w:r>
        <w:rPr>
          <w:lang w:val="en-US"/>
        </w:rPr>
        <w:instrText xml:space="preserve"> REF _Ref32395085 \r \h </w:instrText>
      </w:r>
      <w:r>
        <w:rPr>
          <w:lang w:val="en-US"/>
        </w:rPr>
      </w:r>
      <w:r>
        <w:rPr>
          <w:lang w:val="en-US"/>
        </w:rPr>
        <w:fldChar w:fldCharType="separate"/>
      </w:r>
      <w:r w:rsidR="002409C3">
        <w:rPr>
          <w:lang w:val="en-US"/>
        </w:rPr>
        <w:t>[1]</w:t>
      </w:r>
      <w:r>
        <w:rPr>
          <w:lang w:val="en-US"/>
        </w:rPr>
        <w:fldChar w:fldCharType="end"/>
      </w:r>
      <w:r>
        <w:rPr>
          <w:lang w:val="en-US"/>
        </w:rPr>
        <w:t>, companies were encouraged to provide their feasibility studies in RAN4 #94 for handheld UE</w:t>
      </w:r>
    </w:p>
    <w:p w14:paraId="12CA887E" w14:textId="77777777" w:rsidR="0081108F" w:rsidRDefault="0081108F" w:rsidP="006671F4">
      <w:pPr>
        <w:pStyle w:val="BodyText"/>
        <w:numPr>
          <w:ilvl w:val="0"/>
          <w:numId w:val="8"/>
        </w:numPr>
        <w:jc w:val="both"/>
        <w:rPr>
          <w:lang w:val="en-US"/>
        </w:rPr>
      </w:pPr>
      <w:r>
        <w:rPr>
          <w:lang w:val="en-US"/>
        </w:rPr>
        <w:t>Possible enhancement 1: add a different %-tile for EIRP spherical coverage value, i.e., 11.5dBm for n257, n261, n258, and 8dBm for n260 or other lower EIRP spherical coverage value.</w:t>
      </w:r>
    </w:p>
    <w:p w14:paraId="7EE30AE2" w14:textId="77777777" w:rsidR="0081108F" w:rsidRDefault="0081108F" w:rsidP="006671F4">
      <w:pPr>
        <w:pStyle w:val="BodyText"/>
        <w:numPr>
          <w:ilvl w:val="0"/>
          <w:numId w:val="8"/>
        </w:numPr>
        <w:jc w:val="both"/>
        <w:rPr>
          <w:lang w:val="en-US"/>
        </w:rPr>
      </w:pPr>
      <w:r>
        <w:rPr>
          <w:lang w:val="en-US"/>
        </w:rPr>
        <w:t>Possible enhancement 2: increase current 50%-tile EIRP spherical coverage value by Y dB</w:t>
      </w:r>
    </w:p>
    <w:p w14:paraId="67257A62" w14:textId="77777777" w:rsidR="0081108F" w:rsidRDefault="0081108F" w:rsidP="006671F4">
      <w:pPr>
        <w:pStyle w:val="BodyText"/>
        <w:numPr>
          <w:ilvl w:val="1"/>
          <w:numId w:val="8"/>
        </w:numPr>
        <w:jc w:val="both"/>
        <w:rPr>
          <w:lang w:val="en-US"/>
        </w:rPr>
      </w:pPr>
      <w:r>
        <w:rPr>
          <w:lang w:val="en-US"/>
        </w:rPr>
        <w:t>Bands for feasible studies can be prioritized as n257, n261, n260, n258.</w:t>
      </w:r>
    </w:p>
    <w:p w14:paraId="23D4EC3A" w14:textId="77777777" w:rsidR="0081108F" w:rsidRDefault="0081108F" w:rsidP="0081108F">
      <w:pPr>
        <w:pStyle w:val="BodyText"/>
        <w:jc w:val="both"/>
        <w:rPr>
          <w:lang w:val="en-US"/>
        </w:rPr>
      </w:pPr>
      <w:r>
        <w:rPr>
          <w:lang w:val="en-US"/>
        </w:rPr>
        <w:t>If needed, provide parameters related to UE form factor assumption to achieve enhancement of spherical coverage requirement.</w:t>
      </w:r>
    </w:p>
    <w:p w14:paraId="3A7732C1" w14:textId="2918E04D" w:rsidR="00C70D6B" w:rsidRDefault="008B6DDE" w:rsidP="00432D37">
      <w:pPr>
        <w:pStyle w:val="BodyText"/>
        <w:jc w:val="both"/>
        <w:rPr>
          <w:lang w:val="en-US"/>
        </w:rPr>
      </w:pPr>
      <w:r>
        <w:rPr>
          <w:lang w:val="en-US"/>
        </w:rPr>
        <w:t xml:space="preserve">Furthermore, </w:t>
      </w:r>
      <w:r w:rsidR="00C70D6B">
        <w:rPr>
          <w:lang w:val="en-US"/>
        </w:rPr>
        <w:t xml:space="preserve">the following agreements were made during RAN4 #94-e </w:t>
      </w:r>
      <w:r w:rsidR="00C70D6B">
        <w:rPr>
          <w:lang w:val="en-US"/>
        </w:rPr>
        <w:fldChar w:fldCharType="begin"/>
      </w:r>
      <w:r w:rsidR="00C70D6B">
        <w:rPr>
          <w:lang w:val="en-US"/>
        </w:rPr>
        <w:instrText xml:space="preserve"> REF _Ref37242517 \r \h </w:instrText>
      </w:r>
      <w:r w:rsidR="00C70D6B">
        <w:rPr>
          <w:lang w:val="en-US"/>
        </w:rPr>
      </w:r>
      <w:r w:rsidR="00C70D6B">
        <w:rPr>
          <w:lang w:val="en-US"/>
        </w:rPr>
        <w:fldChar w:fldCharType="separate"/>
      </w:r>
      <w:r w:rsidR="002409C3">
        <w:rPr>
          <w:lang w:val="en-US"/>
        </w:rPr>
        <w:t>[7]</w:t>
      </w:r>
      <w:r w:rsidR="00C70D6B">
        <w:rPr>
          <w:lang w:val="en-US"/>
        </w:rPr>
        <w:fldChar w:fldCharType="end"/>
      </w:r>
      <w:r w:rsidR="00C70D6B">
        <w:rPr>
          <w:lang w:val="en-US"/>
        </w:rPr>
        <w:t>:</w:t>
      </w:r>
    </w:p>
    <w:p w14:paraId="09E2ED1C" w14:textId="77777777" w:rsidR="00C70D6B" w:rsidRPr="00C70D6B" w:rsidRDefault="00C70D6B" w:rsidP="006671F4">
      <w:pPr>
        <w:pStyle w:val="BodyText"/>
        <w:numPr>
          <w:ilvl w:val="0"/>
          <w:numId w:val="10"/>
        </w:numPr>
        <w:jc w:val="both"/>
        <w:rPr>
          <w:lang w:val="en-US"/>
        </w:rPr>
      </w:pPr>
      <w:r w:rsidRPr="00C70D6B">
        <w:rPr>
          <w:lang w:val="en-US"/>
        </w:rPr>
        <w:t>RAN4 agrees to focus on seeking contributing factors before deciding on the method to specify possible enhancements</w:t>
      </w:r>
    </w:p>
    <w:p w14:paraId="61AEFA3A" w14:textId="77777777" w:rsidR="00C70D6B" w:rsidRPr="00C70D6B" w:rsidRDefault="00C70D6B" w:rsidP="006671F4">
      <w:pPr>
        <w:pStyle w:val="BodyText"/>
        <w:numPr>
          <w:ilvl w:val="0"/>
          <w:numId w:val="10"/>
        </w:numPr>
        <w:jc w:val="both"/>
        <w:rPr>
          <w:lang w:val="en-US"/>
        </w:rPr>
      </w:pPr>
      <w:r w:rsidRPr="00C70D6B">
        <w:rPr>
          <w:lang w:val="en-US"/>
        </w:rPr>
        <w:t>Following option is also agreed for further study in RAN4</w:t>
      </w:r>
    </w:p>
    <w:p w14:paraId="10C25F9C" w14:textId="4E830F35" w:rsidR="00C70D6B" w:rsidRPr="00C70D6B" w:rsidRDefault="00C70D6B" w:rsidP="006671F4">
      <w:pPr>
        <w:pStyle w:val="BodyText"/>
        <w:numPr>
          <w:ilvl w:val="1"/>
          <w:numId w:val="10"/>
        </w:numPr>
        <w:jc w:val="both"/>
        <w:rPr>
          <w:lang w:val="en-US"/>
        </w:rPr>
      </w:pPr>
      <w:r w:rsidRPr="00C70D6B">
        <w:rPr>
          <w:lang w:val="en-US"/>
        </w:rPr>
        <w:t>RAN4 continues discussion on new factors, if any, which have not been considered (see Appendix pages</w:t>
      </w:r>
      <w:r>
        <w:rPr>
          <w:lang w:val="en-US"/>
        </w:rPr>
        <w:t xml:space="preserve"> </w:t>
      </w:r>
      <w:r>
        <w:rPr>
          <w:lang w:val="en-US"/>
        </w:rPr>
        <w:fldChar w:fldCharType="begin"/>
      </w:r>
      <w:r>
        <w:rPr>
          <w:lang w:val="en-US"/>
        </w:rPr>
        <w:instrText xml:space="preserve"> REF _Ref37242517 \r \h </w:instrText>
      </w:r>
      <w:r>
        <w:rPr>
          <w:lang w:val="en-US"/>
        </w:rPr>
      </w:r>
      <w:r>
        <w:rPr>
          <w:lang w:val="en-US"/>
        </w:rPr>
        <w:fldChar w:fldCharType="separate"/>
      </w:r>
      <w:r w:rsidR="002409C3">
        <w:rPr>
          <w:lang w:val="en-US"/>
        </w:rPr>
        <w:t>[7]</w:t>
      </w:r>
      <w:r>
        <w:rPr>
          <w:lang w:val="en-US"/>
        </w:rPr>
        <w:fldChar w:fldCharType="end"/>
      </w:r>
      <w:r w:rsidRPr="00C70D6B">
        <w:rPr>
          <w:lang w:val="en-US"/>
        </w:rPr>
        <w:t>)</w:t>
      </w:r>
    </w:p>
    <w:p w14:paraId="0BDAA3AA" w14:textId="45BCA0E5" w:rsidR="008B6DDE" w:rsidRPr="00C70D6B" w:rsidRDefault="00C70D6B" w:rsidP="006671F4">
      <w:pPr>
        <w:pStyle w:val="BodyText"/>
        <w:numPr>
          <w:ilvl w:val="0"/>
          <w:numId w:val="10"/>
        </w:numPr>
        <w:jc w:val="both"/>
        <w:rPr>
          <w:lang w:val="en-US"/>
        </w:rPr>
      </w:pPr>
      <w:r w:rsidRPr="00C70D6B">
        <w:rPr>
          <w:lang w:val="en-US"/>
        </w:rPr>
        <w:t>Based on the agreements, companies are encouraged to provide views on new factors to help UE performance</w:t>
      </w:r>
      <w:r w:rsidR="008B6DDE" w:rsidRPr="00C70D6B">
        <w:rPr>
          <w:lang w:val="en-US"/>
        </w:rPr>
        <w:t xml:space="preserve">.  </w:t>
      </w:r>
    </w:p>
    <w:p w14:paraId="5DC568E1" w14:textId="77777777" w:rsidR="00432D37" w:rsidRPr="00432D37" w:rsidRDefault="00432D37" w:rsidP="00432D37">
      <w:pPr>
        <w:pStyle w:val="BodyText"/>
        <w:jc w:val="both"/>
        <w:rPr>
          <w:lang w:val="en-US"/>
        </w:rPr>
      </w:pPr>
      <w:r>
        <w:rPr>
          <w:lang w:val="en-US"/>
        </w:rPr>
        <w:t>In this contribution, we share our views on the above topics.</w:t>
      </w:r>
    </w:p>
    <w:p w14:paraId="79555B73" w14:textId="77777777" w:rsidR="00963CB0" w:rsidRPr="00540357" w:rsidRDefault="00963CB0" w:rsidP="00963CB0">
      <w:pPr>
        <w:pBdr>
          <w:bottom w:val="single" w:sz="4" w:space="0" w:color="auto"/>
        </w:pBdr>
        <w:jc w:val="both"/>
        <w:rPr>
          <w:rFonts w:ascii="Arial" w:hAnsi="Arial" w:cs="Arial"/>
          <w:lang w:val="en-US"/>
        </w:rPr>
      </w:pPr>
    </w:p>
    <w:p w14:paraId="5AA23134" w14:textId="77777777" w:rsidR="00963CB0" w:rsidRPr="00E30233" w:rsidRDefault="00963CB0" w:rsidP="000230B3">
      <w:pPr>
        <w:pStyle w:val="BodyText"/>
        <w:jc w:val="both"/>
        <w:rPr>
          <w:lang w:val="en-US"/>
        </w:rPr>
      </w:pPr>
    </w:p>
    <w:p w14:paraId="1B467D6C" w14:textId="77777777" w:rsidR="00432D37" w:rsidRDefault="00015775" w:rsidP="003B743B">
      <w:pPr>
        <w:pStyle w:val="Heading1"/>
      </w:pPr>
      <w:bookmarkStart w:id="0" w:name="_Hlk8895418"/>
      <w:r>
        <w:t xml:space="preserve">Spherical coverage of handheld UEs </w:t>
      </w:r>
    </w:p>
    <w:p w14:paraId="7A46506D" w14:textId="336E3B40" w:rsidR="00015775" w:rsidRDefault="00A029DF" w:rsidP="00F85C96">
      <w:pPr>
        <w:pStyle w:val="BodyText"/>
        <w:jc w:val="both"/>
      </w:pPr>
      <w:r>
        <w:t>The spherical coverage of PC3 had been discussed in RAN4 for almost two years,</w:t>
      </w:r>
      <w:r w:rsidR="007B4450">
        <w:t xml:space="preserve"> and a</w:t>
      </w:r>
      <w:r w:rsidR="007E2680">
        <w:t xml:space="preserve"> 50%-tile for EIRP spherical coverage value </w:t>
      </w:r>
      <w:r w:rsidR="007B4450">
        <w:t>of 11.5 dB</w:t>
      </w:r>
      <w:r>
        <w:t>m</w:t>
      </w:r>
      <w:r w:rsidR="007B4450">
        <w:t xml:space="preserve"> for n257, </w:t>
      </w:r>
      <w:r w:rsidR="007B4450">
        <w:rPr>
          <w:lang w:val="en-US"/>
        </w:rPr>
        <w:t xml:space="preserve">n261 and n258 </w:t>
      </w:r>
      <w:r w:rsidR="007E2680">
        <w:t xml:space="preserve">was </w:t>
      </w:r>
      <w:r w:rsidR="00EC1A2D">
        <w:t xml:space="preserve">finally </w:t>
      </w:r>
      <w:r w:rsidR="007B4450">
        <w:t>adopted</w:t>
      </w:r>
      <w:r w:rsidR="00047AB7">
        <w:t xml:space="preserve"> in RAN4 #87</w:t>
      </w:r>
      <w:r w:rsidR="0085151F">
        <w:t xml:space="preserve"> </w:t>
      </w:r>
      <w:r w:rsidR="0085151F">
        <w:fldChar w:fldCharType="begin"/>
      </w:r>
      <w:r w:rsidR="0085151F">
        <w:instrText xml:space="preserve"> REF _Ref32564290 \r \h </w:instrText>
      </w:r>
      <w:r w:rsidR="00B363B5">
        <w:instrText xml:space="preserve"> \* MERGEFORMAT </w:instrText>
      </w:r>
      <w:r w:rsidR="0085151F">
        <w:fldChar w:fldCharType="separate"/>
      </w:r>
      <w:r w:rsidR="002409C3">
        <w:t>[2]</w:t>
      </w:r>
      <w:r w:rsidR="0085151F">
        <w:fldChar w:fldCharType="end"/>
      </w:r>
      <w:r>
        <w:t>, which is 10.9 dB below the peak EIRP</w:t>
      </w:r>
      <w:r w:rsidR="007E2680">
        <w:t xml:space="preserve">. The agreement reflects a compromise between </w:t>
      </w:r>
      <w:r w:rsidR="007B4450">
        <w:t xml:space="preserve">limitations of </w:t>
      </w:r>
      <w:r w:rsidR="00B44F81">
        <w:t xml:space="preserve">single-panel </w:t>
      </w:r>
      <w:r w:rsidR="007B4450">
        <w:t xml:space="preserve">UE implementations, </w:t>
      </w:r>
      <w:r w:rsidR="00B44F81">
        <w:t xml:space="preserve">and </w:t>
      </w:r>
      <w:r w:rsidR="007B4450">
        <w:t xml:space="preserve">the improved performance offered by multiple </w:t>
      </w:r>
      <w:r w:rsidR="00B44F81">
        <w:t>panels.</w:t>
      </w:r>
      <w:r w:rsidR="00C07EB6">
        <w:t xml:space="preserve"> </w:t>
      </w:r>
    </w:p>
    <w:p w14:paraId="76886EA3" w14:textId="4DAF5C49" w:rsidR="00B44F81" w:rsidRDefault="00B44F81" w:rsidP="00F85C96">
      <w:pPr>
        <w:pStyle w:val="BodyText"/>
        <w:jc w:val="both"/>
      </w:pPr>
      <w:r>
        <w:t xml:space="preserve">In </w:t>
      </w:r>
      <w:r>
        <w:fldChar w:fldCharType="begin"/>
      </w:r>
      <w:r>
        <w:instrText xml:space="preserve"> REF _Ref32489774 \r \h </w:instrText>
      </w:r>
      <w:r w:rsidR="00B363B5">
        <w:instrText xml:space="preserve"> \* MERGEFORMAT </w:instrText>
      </w:r>
      <w:r>
        <w:fldChar w:fldCharType="separate"/>
      </w:r>
      <w:r w:rsidR="002409C3">
        <w:t>[3]</w:t>
      </w:r>
      <w:r>
        <w:fldChar w:fldCharType="end"/>
      </w:r>
      <w:r>
        <w:t>, a comparison of the spherical coverage of handheld UE</w:t>
      </w:r>
      <w:r w:rsidR="007B4450">
        <w:t>s</w:t>
      </w:r>
      <w:r>
        <w:t xml:space="preserve"> </w:t>
      </w:r>
      <w:r w:rsidR="007B4450">
        <w:t xml:space="preserve">was presented based on full-wave electromagnetic simulations of the UEs. In the simulations, various assumptions </w:t>
      </w:r>
      <w:r>
        <w:t>on the number and placement of UE antenna panels as well as on the material (glass or plastic) of the front and back UE cover</w:t>
      </w:r>
      <w:r w:rsidR="00C07EB6">
        <w:t>s</w:t>
      </w:r>
      <w:r w:rsidR="007B4450">
        <w:t xml:space="preserve"> were evaluated.</w:t>
      </w:r>
      <w:r w:rsidR="00C07EB6">
        <w:t xml:space="preserve"> A detailed description of the assumptions can be found in </w:t>
      </w:r>
      <w:r w:rsidR="00C07EB6">
        <w:fldChar w:fldCharType="begin"/>
      </w:r>
      <w:r w:rsidR="00C07EB6">
        <w:instrText xml:space="preserve"> REF _Ref32489774 \r \h </w:instrText>
      </w:r>
      <w:r w:rsidR="00B363B5">
        <w:instrText xml:space="preserve"> \* MERGEFORMAT </w:instrText>
      </w:r>
      <w:r w:rsidR="00C07EB6">
        <w:fldChar w:fldCharType="separate"/>
      </w:r>
      <w:r w:rsidR="002409C3">
        <w:t>[3]</w:t>
      </w:r>
      <w:r w:rsidR="00C07EB6">
        <w:fldChar w:fldCharType="end"/>
      </w:r>
      <w:r w:rsidR="00C07EB6">
        <w:t xml:space="preserve">. </w:t>
      </w:r>
      <w:r w:rsidR="00920631">
        <w:t xml:space="preserve">Plots summarizing the performance of the evaluated assumptions </w:t>
      </w:r>
      <w:r w:rsidR="00F724F4">
        <w:t xml:space="preserve">are </w:t>
      </w:r>
      <w:r w:rsidR="00920631">
        <w:t xml:space="preserve">reproduced in </w:t>
      </w:r>
      <w:r w:rsidR="00920631">
        <w:fldChar w:fldCharType="begin"/>
      </w:r>
      <w:r w:rsidR="00920631">
        <w:instrText xml:space="preserve"> REF _Ref32490485 \h </w:instrText>
      </w:r>
      <w:r w:rsidR="00B363B5">
        <w:instrText xml:space="preserve"> \* MERGEFORMAT </w:instrText>
      </w:r>
      <w:r w:rsidR="00920631">
        <w:fldChar w:fldCharType="separate"/>
      </w:r>
      <w:r w:rsidR="002409C3">
        <w:t xml:space="preserve">Figure </w:t>
      </w:r>
      <w:r w:rsidR="002409C3">
        <w:rPr>
          <w:noProof/>
        </w:rPr>
        <w:t>1</w:t>
      </w:r>
      <w:r w:rsidR="00920631">
        <w:fldChar w:fldCharType="end"/>
      </w:r>
      <w:r w:rsidR="00920631">
        <w:t>.</w:t>
      </w:r>
    </w:p>
    <w:p w14:paraId="6B096BF5" w14:textId="77777777" w:rsidR="00C07EB6" w:rsidRDefault="005228EE" w:rsidP="00C07EB6">
      <w:pPr>
        <w:pStyle w:val="BodyText"/>
        <w:keepNext/>
        <w:jc w:val="center"/>
      </w:pPr>
      <w:r w:rsidRPr="00015775">
        <w:rPr>
          <w:noProof/>
          <w:lang w:val="en-US" w:eastAsia="ja-JP"/>
        </w:rPr>
        <w:lastRenderedPageBreak/>
        <w:drawing>
          <wp:inline distT="0" distB="0" distL="0" distR="0" wp14:anchorId="0D3BBA7C" wp14:editId="476DE1A4">
            <wp:extent cx="3600000" cy="2057604"/>
            <wp:effectExtent l="0" t="0" r="635" b="0"/>
            <wp:docPr id="1"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057604"/>
                    </a:xfrm>
                    <a:prstGeom prst="rect">
                      <a:avLst/>
                    </a:prstGeom>
                    <a:noFill/>
                    <a:ln>
                      <a:noFill/>
                    </a:ln>
                  </pic:spPr>
                </pic:pic>
              </a:graphicData>
            </a:graphic>
          </wp:inline>
        </w:drawing>
      </w:r>
    </w:p>
    <w:p w14:paraId="637F82DF" w14:textId="156D0C8D" w:rsidR="00015775" w:rsidRDefault="00CE2D10" w:rsidP="009E73FB">
      <w:pPr>
        <w:pStyle w:val="Caption"/>
        <w:jc w:val="both"/>
      </w:pPr>
      <w:bookmarkStart w:id="1" w:name="_Ref32490485"/>
      <w:r>
        <w:t xml:space="preserve">Figure </w:t>
      </w:r>
      <w:r>
        <w:fldChar w:fldCharType="begin"/>
      </w:r>
      <w:r>
        <w:instrText xml:space="preserve"> SEQ Figure \* ARABIC </w:instrText>
      </w:r>
      <w:r>
        <w:fldChar w:fldCharType="separate"/>
      </w:r>
      <w:r w:rsidR="002409C3">
        <w:rPr>
          <w:noProof/>
        </w:rPr>
        <w:t>1</w:t>
      </w:r>
      <w:r>
        <w:fldChar w:fldCharType="end"/>
      </w:r>
      <w:bookmarkEnd w:id="1"/>
      <w:r w:rsidR="00C07EB6">
        <w:t xml:space="preserve">. </w:t>
      </w:r>
      <w:r w:rsidR="0063651B" w:rsidRPr="00EE1647">
        <w:rPr>
          <w:bCs w:val="0"/>
        </w:rPr>
        <w:t xml:space="preserve">The spherical coverage of </w:t>
      </w:r>
      <w:r w:rsidR="00BD7C40" w:rsidRPr="00EE1647">
        <w:rPr>
          <w:bCs w:val="0"/>
        </w:rPr>
        <w:t>handheld UE</w:t>
      </w:r>
      <w:r w:rsidR="0063651B" w:rsidRPr="00EE1647">
        <w:rPr>
          <w:bCs w:val="0"/>
        </w:rPr>
        <w:t>s</w:t>
      </w:r>
      <w:r w:rsidR="00BD7C40" w:rsidRPr="00EE1647">
        <w:rPr>
          <w:bCs w:val="0"/>
        </w:rPr>
        <w:t xml:space="preserve"> for </w:t>
      </w:r>
      <w:r w:rsidR="00143EBB" w:rsidRPr="00EE1647">
        <w:rPr>
          <w:bCs w:val="0"/>
        </w:rPr>
        <w:t>panel configurations</w:t>
      </w:r>
      <w:r w:rsidR="00BD7C40" w:rsidRPr="00EE1647">
        <w:rPr>
          <w:bCs w:val="0"/>
        </w:rPr>
        <w:t xml:space="preserve">; reproduced from </w:t>
      </w:r>
      <w:r w:rsidR="00BD7C40" w:rsidRPr="00EE1647">
        <w:rPr>
          <w:bCs w:val="0"/>
        </w:rPr>
        <w:fldChar w:fldCharType="begin"/>
      </w:r>
      <w:r w:rsidR="00BD7C40" w:rsidRPr="00EE1647">
        <w:rPr>
          <w:bCs w:val="0"/>
        </w:rPr>
        <w:instrText xml:space="preserve"> REF _Ref32489774 \r \h </w:instrText>
      </w:r>
      <w:r w:rsidR="009E73FB" w:rsidRPr="00EE1647">
        <w:rPr>
          <w:bCs w:val="0"/>
        </w:rPr>
        <w:instrText xml:space="preserve"> \* MERGEFORMAT </w:instrText>
      </w:r>
      <w:r w:rsidR="00BD7C40" w:rsidRPr="00EE1647">
        <w:rPr>
          <w:bCs w:val="0"/>
        </w:rPr>
      </w:r>
      <w:r w:rsidR="00BD7C40" w:rsidRPr="00EE1647">
        <w:rPr>
          <w:bCs w:val="0"/>
        </w:rPr>
        <w:fldChar w:fldCharType="separate"/>
      </w:r>
      <w:r w:rsidR="002409C3">
        <w:rPr>
          <w:bCs w:val="0"/>
        </w:rPr>
        <w:t>[3]</w:t>
      </w:r>
      <w:r w:rsidR="00BD7C40" w:rsidRPr="00EE1647">
        <w:rPr>
          <w:bCs w:val="0"/>
        </w:rPr>
        <w:fldChar w:fldCharType="end"/>
      </w:r>
      <w:r w:rsidR="00BD7C40" w:rsidRPr="00EE1647">
        <w:rPr>
          <w:bCs w:val="0"/>
        </w:rPr>
        <w:t>.</w:t>
      </w:r>
    </w:p>
    <w:p w14:paraId="2DCCA25E" w14:textId="77777777" w:rsidR="00C07EB6" w:rsidRDefault="00C07EB6" w:rsidP="00C07EB6">
      <w:pPr>
        <w:pStyle w:val="BodyText"/>
      </w:pPr>
    </w:p>
    <w:p w14:paraId="1E7DC592" w14:textId="2D5EB395" w:rsidR="00BD7C40" w:rsidRDefault="00C07EB6" w:rsidP="00F85C96">
      <w:pPr>
        <w:pStyle w:val="BodyText"/>
        <w:jc w:val="both"/>
      </w:pPr>
      <w:r>
        <w:t>An important observation to be made</w:t>
      </w:r>
      <w:r w:rsidR="00920631">
        <w:t xml:space="preserve"> from </w:t>
      </w:r>
      <w:r w:rsidR="00920631">
        <w:fldChar w:fldCharType="begin"/>
      </w:r>
      <w:r w:rsidR="00920631">
        <w:instrText xml:space="preserve"> REF _Ref32490485 \h </w:instrText>
      </w:r>
      <w:r w:rsidR="00B363B5">
        <w:instrText xml:space="preserve"> \* MERGEFORMAT </w:instrText>
      </w:r>
      <w:r w:rsidR="00920631">
        <w:fldChar w:fldCharType="separate"/>
      </w:r>
      <w:r w:rsidR="002409C3">
        <w:t xml:space="preserve">Figure </w:t>
      </w:r>
      <w:r w:rsidR="002409C3">
        <w:rPr>
          <w:noProof/>
        </w:rPr>
        <w:t>1</w:t>
      </w:r>
      <w:r w:rsidR="00920631">
        <w:fldChar w:fldCharType="end"/>
      </w:r>
      <w:r>
        <w:t xml:space="preserve"> is that significantly better </w:t>
      </w:r>
      <w:r w:rsidR="00920631">
        <w:t>performance can be</w:t>
      </w:r>
      <w:r>
        <w:t xml:space="preserve"> achieved by devices incorporat</w:t>
      </w:r>
      <w:r w:rsidR="00920631">
        <w:t>ing</w:t>
      </w:r>
      <w:r>
        <w:t xml:space="preserve"> two or more </w:t>
      </w:r>
      <w:r w:rsidR="00920631">
        <w:t xml:space="preserve">UE antenna </w:t>
      </w:r>
      <w:r>
        <w:t>panels</w:t>
      </w:r>
      <w:r w:rsidR="00E151CC">
        <w:t xml:space="preserve"> when they are directed in different (opposite) directions</w:t>
      </w:r>
      <w:r>
        <w:t xml:space="preserve">. </w:t>
      </w:r>
      <w:r w:rsidR="00920631">
        <w:t xml:space="preserve">This is </w:t>
      </w:r>
      <w:r w:rsidR="00E24FCA">
        <w:t>summarized</w:t>
      </w:r>
      <w:r w:rsidR="00920631">
        <w:t xml:space="preserve"> in </w:t>
      </w:r>
      <w:r w:rsidR="00895BF7">
        <w:fldChar w:fldCharType="begin"/>
      </w:r>
      <w:r w:rsidR="00895BF7">
        <w:instrText xml:space="preserve"> REF _Ref37439787 \h </w:instrText>
      </w:r>
      <w:r w:rsidR="00895BF7">
        <w:fldChar w:fldCharType="separate"/>
      </w:r>
      <w:r w:rsidR="00895BF7">
        <w:t xml:space="preserve">Table </w:t>
      </w:r>
      <w:r w:rsidR="00895BF7">
        <w:rPr>
          <w:noProof/>
        </w:rPr>
        <w:t>1</w:t>
      </w:r>
      <w:r w:rsidR="00895BF7">
        <w:fldChar w:fldCharType="end"/>
      </w:r>
      <w:r w:rsidR="009E32EA">
        <w:fldChar w:fldCharType="begin"/>
      </w:r>
      <w:r w:rsidR="009E32EA">
        <w:instrText xml:space="preserve"> REF _Ref32491649 \h </w:instrText>
      </w:r>
      <w:r w:rsidR="00B363B5">
        <w:instrText xml:space="preserve"> \* MERGEFORMAT </w:instrText>
      </w:r>
      <w:r w:rsidR="009E32EA">
        <w:fldChar w:fldCharType="separate"/>
      </w:r>
      <w:r w:rsidR="009E32EA">
        <w:fldChar w:fldCharType="end"/>
      </w:r>
      <w:r w:rsidR="009E32EA">
        <w:t xml:space="preserve">, </w:t>
      </w:r>
      <w:r w:rsidR="00920631">
        <w:t>where considerably</w:t>
      </w:r>
      <w:r w:rsidR="009E32EA">
        <w:t xml:space="preserve"> better EIRP spherical coverage </w:t>
      </w:r>
      <w:r w:rsidR="00920631">
        <w:t xml:space="preserve">values </w:t>
      </w:r>
      <w:r w:rsidR="009E32EA">
        <w:t xml:space="preserve">can be attained by </w:t>
      </w:r>
      <w:r w:rsidR="00633AF0">
        <w:t>UEs with dual-side panels</w:t>
      </w:r>
      <w:r w:rsidR="00FB1990">
        <w:t xml:space="preserve"> comparing to the single-side configuration</w:t>
      </w:r>
      <w:r w:rsidR="0040275B">
        <w:t xml:space="preserve">. </w:t>
      </w:r>
    </w:p>
    <w:p w14:paraId="17CB3EE5" w14:textId="77777777" w:rsidR="001C07CC" w:rsidRDefault="001C07CC" w:rsidP="00F85C96">
      <w:pPr>
        <w:pStyle w:val="BodyText"/>
        <w:jc w:val="both"/>
      </w:pPr>
    </w:p>
    <w:p w14:paraId="5A112836" w14:textId="7B45D5D3" w:rsidR="00987ECA" w:rsidRPr="00CC30DE" w:rsidRDefault="00987ECA" w:rsidP="000F5C5C">
      <w:pPr>
        <w:pStyle w:val="Caption"/>
        <w:keepNext/>
        <w:spacing w:after="120"/>
      </w:pPr>
      <w:bookmarkStart w:id="2" w:name="_Ref37439787"/>
      <w:r>
        <w:t xml:space="preserve">Table </w:t>
      </w:r>
      <w:r>
        <w:fldChar w:fldCharType="begin"/>
      </w:r>
      <w:r>
        <w:instrText xml:space="preserve"> SEQ Table \* ARABIC </w:instrText>
      </w:r>
      <w:r>
        <w:fldChar w:fldCharType="separate"/>
      </w:r>
      <w:r w:rsidR="002409C3">
        <w:rPr>
          <w:noProof/>
        </w:rPr>
        <w:t>1</w:t>
      </w:r>
      <w:r>
        <w:fldChar w:fldCharType="end"/>
      </w:r>
      <w:bookmarkEnd w:id="2"/>
      <w:r>
        <w:t xml:space="preserve">. </w:t>
      </w:r>
      <w:r w:rsidRPr="00EE1647">
        <w:rPr>
          <w:bCs w:val="0"/>
        </w:rPr>
        <w:t>Summary of antenna gain for PC3, in dB units, for various UE panel configurations.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39"/>
        <w:gridCol w:w="2001"/>
        <w:gridCol w:w="2001"/>
        <w:gridCol w:w="2001"/>
        <w:gridCol w:w="2001"/>
      </w:tblGrid>
      <w:tr w:rsidR="00987ECA" w14:paraId="6279F7B2" w14:textId="77777777" w:rsidTr="00A71CCD">
        <w:trPr>
          <w:jc w:val="center"/>
        </w:trPr>
        <w:tc>
          <w:tcPr>
            <w:tcW w:w="1339" w:type="dxa"/>
            <w:shd w:val="solid" w:color="000000" w:fill="FFFFFF"/>
          </w:tcPr>
          <w:p w14:paraId="5F4085F8" w14:textId="77777777" w:rsidR="00987ECA" w:rsidRPr="00BD7C40" w:rsidRDefault="00987ECA" w:rsidP="00A71CCD">
            <w:pPr>
              <w:pStyle w:val="BodyText"/>
              <w:rPr>
                <w:b/>
                <w:bCs/>
              </w:rPr>
            </w:pPr>
            <w:r w:rsidRPr="00BD7C40">
              <w:rPr>
                <w:b/>
                <w:bCs/>
              </w:rPr>
              <w:t>Assumption</w:t>
            </w:r>
          </w:p>
        </w:tc>
        <w:tc>
          <w:tcPr>
            <w:tcW w:w="2001" w:type="dxa"/>
            <w:shd w:val="solid" w:color="000000" w:fill="FFFFFF"/>
          </w:tcPr>
          <w:p w14:paraId="49605994" w14:textId="77777777" w:rsidR="00987ECA" w:rsidRPr="004F6AB9" w:rsidRDefault="00987ECA" w:rsidP="00A71CCD">
            <w:pPr>
              <w:pStyle w:val="BodyText"/>
              <w:rPr>
                <w:b/>
                <w:bCs/>
              </w:rPr>
            </w:pPr>
            <w:r w:rsidRPr="004F6AB9">
              <w:rPr>
                <w:b/>
                <w:bCs/>
              </w:rPr>
              <w:t>Single side panels, glass cover</w:t>
            </w:r>
          </w:p>
        </w:tc>
        <w:tc>
          <w:tcPr>
            <w:tcW w:w="2001" w:type="dxa"/>
            <w:shd w:val="solid" w:color="000000" w:fill="FFFFFF"/>
          </w:tcPr>
          <w:p w14:paraId="10595E7B" w14:textId="77777777" w:rsidR="00987ECA" w:rsidRPr="004F6AB9" w:rsidRDefault="00987ECA" w:rsidP="00A71CCD">
            <w:pPr>
              <w:pStyle w:val="BodyText"/>
              <w:rPr>
                <w:b/>
                <w:bCs/>
              </w:rPr>
            </w:pPr>
            <w:r w:rsidRPr="004F6AB9">
              <w:rPr>
                <w:b/>
                <w:bCs/>
              </w:rPr>
              <w:t>Single side panels, plastic cover</w:t>
            </w:r>
          </w:p>
        </w:tc>
        <w:tc>
          <w:tcPr>
            <w:tcW w:w="2001" w:type="dxa"/>
            <w:shd w:val="solid" w:color="000000" w:fill="FFFFFF"/>
          </w:tcPr>
          <w:p w14:paraId="4F8A54BF" w14:textId="77777777" w:rsidR="00987ECA" w:rsidRPr="004F6AB9" w:rsidRDefault="00987ECA" w:rsidP="00A71CCD">
            <w:pPr>
              <w:pStyle w:val="BodyText"/>
              <w:rPr>
                <w:b/>
                <w:bCs/>
              </w:rPr>
            </w:pPr>
            <w:r w:rsidRPr="004F6AB9">
              <w:rPr>
                <w:b/>
                <w:bCs/>
              </w:rPr>
              <w:t>2-side panels, glass cover</w:t>
            </w:r>
          </w:p>
        </w:tc>
        <w:tc>
          <w:tcPr>
            <w:tcW w:w="2001" w:type="dxa"/>
            <w:shd w:val="solid" w:color="000000" w:fill="FFFFFF"/>
          </w:tcPr>
          <w:p w14:paraId="08E208D8" w14:textId="77777777" w:rsidR="00987ECA" w:rsidRPr="004F6AB9" w:rsidRDefault="00987ECA" w:rsidP="00A71CCD">
            <w:pPr>
              <w:pStyle w:val="BodyText"/>
              <w:rPr>
                <w:b/>
                <w:bCs/>
              </w:rPr>
            </w:pPr>
            <w:r w:rsidRPr="004F6AB9">
              <w:rPr>
                <w:b/>
                <w:bCs/>
              </w:rPr>
              <w:t>2-side panels, plastic back cover</w:t>
            </w:r>
          </w:p>
        </w:tc>
      </w:tr>
      <w:tr w:rsidR="00987ECA" w14:paraId="1CAF4657" w14:textId="77777777" w:rsidTr="00A71CCD">
        <w:trPr>
          <w:jc w:val="center"/>
        </w:trPr>
        <w:tc>
          <w:tcPr>
            <w:tcW w:w="1339" w:type="dxa"/>
            <w:shd w:val="clear" w:color="auto" w:fill="auto"/>
          </w:tcPr>
          <w:p w14:paraId="7C204E76" w14:textId="77777777" w:rsidR="00987ECA" w:rsidRPr="004F6AB9" w:rsidRDefault="00987ECA" w:rsidP="00A71CCD">
            <w:pPr>
              <w:pStyle w:val="BodyText"/>
              <w:jc w:val="center"/>
              <w:rPr>
                <w:b/>
                <w:bCs/>
              </w:rPr>
            </w:pPr>
            <w:r w:rsidRPr="004F6AB9">
              <w:rPr>
                <w:b/>
                <w:bCs/>
              </w:rPr>
              <w:t>50%-tile</w:t>
            </w:r>
          </w:p>
        </w:tc>
        <w:tc>
          <w:tcPr>
            <w:tcW w:w="2001" w:type="dxa"/>
            <w:shd w:val="clear" w:color="auto" w:fill="auto"/>
          </w:tcPr>
          <w:p w14:paraId="7E6F0D29" w14:textId="77777777" w:rsidR="00987ECA" w:rsidRDefault="00987ECA" w:rsidP="00A71CCD">
            <w:pPr>
              <w:pStyle w:val="BodyText"/>
              <w:jc w:val="center"/>
            </w:pPr>
            <w:r>
              <w:t>0</w:t>
            </w:r>
          </w:p>
        </w:tc>
        <w:tc>
          <w:tcPr>
            <w:tcW w:w="2001" w:type="dxa"/>
            <w:shd w:val="clear" w:color="auto" w:fill="auto"/>
          </w:tcPr>
          <w:p w14:paraId="0558C753" w14:textId="77777777" w:rsidR="00987ECA" w:rsidRDefault="00987ECA" w:rsidP="00A71CCD">
            <w:pPr>
              <w:pStyle w:val="BodyText"/>
              <w:jc w:val="center"/>
            </w:pPr>
            <w:r>
              <w:t>3</w:t>
            </w:r>
          </w:p>
        </w:tc>
        <w:tc>
          <w:tcPr>
            <w:tcW w:w="2001" w:type="dxa"/>
            <w:shd w:val="clear" w:color="auto" w:fill="auto"/>
          </w:tcPr>
          <w:p w14:paraId="39E35E25" w14:textId="77777777" w:rsidR="00987ECA" w:rsidRDefault="00987ECA" w:rsidP="00A71CCD">
            <w:pPr>
              <w:pStyle w:val="BodyText"/>
              <w:jc w:val="center"/>
            </w:pPr>
            <w:r>
              <w:t>4</w:t>
            </w:r>
          </w:p>
        </w:tc>
        <w:tc>
          <w:tcPr>
            <w:tcW w:w="2001" w:type="dxa"/>
            <w:shd w:val="clear" w:color="auto" w:fill="auto"/>
          </w:tcPr>
          <w:p w14:paraId="629F849C" w14:textId="77777777" w:rsidR="00987ECA" w:rsidRDefault="00987ECA" w:rsidP="00A71CCD">
            <w:pPr>
              <w:pStyle w:val="BodyText"/>
              <w:jc w:val="center"/>
            </w:pPr>
            <w:r>
              <w:t>6</w:t>
            </w:r>
          </w:p>
        </w:tc>
      </w:tr>
    </w:tbl>
    <w:p w14:paraId="0B2A4024" w14:textId="77777777" w:rsidR="00987ECA" w:rsidRDefault="00987ECA" w:rsidP="00F85C96">
      <w:pPr>
        <w:pStyle w:val="BodyText"/>
        <w:jc w:val="both"/>
      </w:pPr>
    </w:p>
    <w:p w14:paraId="6EEB51F5" w14:textId="4F74B726" w:rsidR="0056263E" w:rsidRDefault="002B1973" w:rsidP="00C07EB6">
      <w:pPr>
        <w:pStyle w:val="BodyText"/>
      </w:pPr>
      <w:r>
        <w:t xml:space="preserve">Therefore, </w:t>
      </w:r>
      <w:r w:rsidR="00987ECA">
        <w:t xml:space="preserve">to our understanding, the placement of antenna panels is another factor </w:t>
      </w:r>
      <w:r w:rsidR="00751C1C">
        <w:t xml:space="preserve">that </w:t>
      </w:r>
      <w:r w:rsidR="00987ECA">
        <w:t>can potentially influence the spherical coverage of PC3 UE.</w:t>
      </w:r>
    </w:p>
    <w:p w14:paraId="1CBB8424" w14:textId="77777777" w:rsidR="00E24FCA" w:rsidRDefault="00E24FCA" w:rsidP="00C07EB6">
      <w:pPr>
        <w:pStyle w:val="BodyText"/>
        <w:rPr>
          <w:b/>
          <w:bCs/>
        </w:rPr>
      </w:pPr>
      <w:bookmarkStart w:id="3" w:name="_GoBack"/>
      <w:bookmarkEnd w:id="3"/>
    </w:p>
    <w:p w14:paraId="60C91445" w14:textId="63E0CD8B" w:rsidR="00E27552" w:rsidRDefault="00E24FCA" w:rsidP="00C07EB6">
      <w:pPr>
        <w:pStyle w:val="BodyText"/>
        <w:rPr>
          <w:b/>
          <w:bCs/>
        </w:rPr>
      </w:pPr>
      <w:r w:rsidRPr="00A71342">
        <w:rPr>
          <w:b/>
          <w:bCs/>
        </w:rPr>
        <w:t>Observation</w:t>
      </w:r>
      <w:r>
        <w:rPr>
          <w:b/>
          <w:bCs/>
        </w:rPr>
        <w:t xml:space="preserve"> </w:t>
      </w:r>
      <w:r w:rsidR="00987ECA">
        <w:rPr>
          <w:b/>
          <w:bCs/>
        </w:rPr>
        <w:t>1</w:t>
      </w:r>
      <w:r w:rsidRPr="00A71342">
        <w:rPr>
          <w:b/>
          <w:bCs/>
        </w:rPr>
        <w:t xml:space="preserve">: </w:t>
      </w:r>
      <w:r>
        <w:rPr>
          <w:b/>
          <w:bCs/>
        </w:rPr>
        <w:t xml:space="preserve">The EIRP spherical coverage performance of handheld UEs depends not only on the number of antenna panels but also on other contributing factors, such as the placement of the </w:t>
      </w:r>
      <w:r w:rsidR="001C07CC">
        <w:rPr>
          <w:b/>
          <w:bCs/>
        </w:rPr>
        <w:t xml:space="preserve">antenna </w:t>
      </w:r>
      <w:r>
        <w:rPr>
          <w:b/>
          <w:bCs/>
        </w:rPr>
        <w:t xml:space="preserve">panels. </w:t>
      </w:r>
    </w:p>
    <w:p w14:paraId="49893D85" w14:textId="77777777" w:rsidR="00C07EB6" w:rsidRDefault="00C07EB6" w:rsidP="00015775">
      <w:pPr>
        <w:pStyle w:val="BodyText"/>
      </w:pPr>
    </w:p>
    <w:p w14:paraId="1AF73F3F" w14:textId="19928F83" w:rsidR="001C07CC" w:rsidRDefault="0040275B" w:rsidP="001C07CC">
      <w:pPr>
        <w:pStyle w:val="BodyText"/>
        <w:jc w:val="both"/>
      </w:pPr>
      <w:r>
        <w:t xml:space="preserve">In the next section, we show that </w:t>
      </w:r>
      <w:r w:rsidR="004D597B">
        <w:t>NR</w:t>
      </w:r>
      <w:r>
        <w:t xml:space="preserve"> networks can indeed benefit from enhanced EIRP spherical coverage requirements for handheld devices.</w:t>
      </w:r>
      <w:r w:rsidR="001C07CC" w:rsidDel="001C07CC">
        <w:t xml:space="preserve"> </w:t>
      </w:r>
    </w:p>
    <w:p w14:paraId="6655931D" w14:textId="623EB6CA" w:rsidR="0040275B" w:rsidRDefault="0040275B" w:rsidP="00A42703">
      <w:pPr>
        <w:pStyle w:val="Heading1"/>
      </w:pPr>
      <w:r>
        <w:t xml:space="preserve">Spherical coverage of handheld UEs in </w:t>
      </w:r>
      <w:r w:rsidR="004D597B">
        <w:t>NR</w:t>
      </w:r>
      <w:r>
        <w:t xml:space="preserve"> networks</w:t>
      </w:r>
    </w:p>
    <w:p w14:paraId="7BF9B0C0" w14:textId="5C8C66E8" w:rsidR="0040275B" w:rsidRDefault="004D597B" w:rsidP="00F85C96">
      <w:pPr>
        <w:pStyle w:val="BodyText"/>
        <w:jc w:val="both"/>
      </w:pPr>
      <w:r>
        <w:t xml:space="preserve">To study the impact of enhanced spherical coverage requirements on NR network performance, simulations </w:t>
      </w:r>
      <w:r w:rsidR="00E27552">
        <w:t>of</w:t>
      </w:r>
      <w:r>
        <w:t xml:space="preserve"> two different UE panel configurations, one having a single panel </w:t>
      </w:r>
      <w:r w:rsidR="00143EBB">
        <w:t>on</w:t>
      </w:r>
      <w:r>
        <w:t xml:space="preserve"> the back, and </w:t>
      </w:r>
      <w:r w:rsidR="00143EBB">
        <w:t>a</w:t>
      </w:r>
      <w:r>
        <w:t xml:space="preserve"> second having an additional panel placed on the top</w:t>
      </w:r>
      <w:r w:rsidR="00751C1C">
        <w:t>,</w:t>
      </w:r>
      <w:r w:rsidR="00E27552">
        <w:t xml:space="preserve"> were prepared for </w:t>
      </w:r>
      <w:r w:rsidR="00E27552">
        <w:fldChar w:fldCharType="begin"/>
      </w:r>
      <w:r w:rsidR="00E27552">
        <w:instrText xml:space="preserve"> REF _Ref37311563 \r \h </w:instrText>
      </w:r>
      <w:r w:rsidR="00E27552">
        <w:fldChar w:fldCharType="separate"/>
      </w:r>
      <w:r w:rsidR="002409C3">
        <w:t>[8]</w:t>
      </w:r>
      <w:r w:rsidR="00E27552">
        <w:fldChar w:fldCharType="end"/>
      </w:r>
      <w:r>
        <w:t xml:space="preserve">. </w:t>
      </w:r>
      <w:r w:rsidR="00060B38">
        <w:t>As a measure of UE</w:t>
      </w:r>
      <w:r w:rsidR="00802310">
        <w:t xml:space="preserve"> performance</w:t>
      </w:r>
      <w:r w:rsidR="00060B38">
        <w:t xml:space="preserve"> in </w:t>
      </w:r>
      <w:r w:rsidR="00802310">
        <w:t>an</w:t>
      </w:r>
      <w:r w:rsidR="00060B38">
        <w:t xml:space="preserve"> </w:t>
      </w:r>
      <w:r w:rsidR="00802310">
        <w:t xml:space="preserve">NR </w:t>
      </w:r>
      <w:r w:rsidR="00060B38">
        <w:t xml:space="preserve">network, the </w:t>
      </w:r>
      <w:r w:rsidR="00802310">
        <w:t>largest</w:t>
      </w:r>
      <w:r w:rsidR="00060B38">
        <w:t xml:space="preserve"> </w:t>
      </w:r>
      <w:r w:rsidR="00802310">
        <w:t xml:space="preserve">UE </w:t>
      </w:r>
      <w:r w:rsidR="00060B38">
        <w:t xml:space="preserve">received signal strength </w:t>
      </w:r>
      <w:r w:rsidR="00802310">
        <w:t>(largest UE RSS)</w:t>
      </w:r>
      <w:r w:rsidR="001B463A">
        <w:t>,</w:t>
      </w:r>
      <w:r w:rsidR="00802310">
        <w:t xml:space="preserve"> among</w:t>
      </w:r>
      <w:r w:rsidR="00060B38">
        <w:t xml:space="preserve"> all cells</w:t>
      </w:r>
      <w:r w:rsidR="001B463A">
        <w:t>, was investigated</w:t>
      </w:r>
      <w:r w:rsidR="00060B38">
        <w:t xml:space="preserve">. </w:t>
      </w:r>
      <w:r w:rsidR="00802310">
        <w:t xml:space="preserve">UE antennas </w:t>
      </w:r>
      <w:r w:rsidR="001B463A">
        <w:t xml:space="preserve">were assumed </w:t>
      </w:r>
      <w:r w:rsidR="00802310">
        <w:t xml:space="preserve">reciprocal and </w:t>
      </w:r>
      <w:r w:rsidR="001B463A">
        <w:t>it was expected</w:t>
      </w:r>
      <w:r w:rsidR="00802310">
        <w:t xml:space="preserve"> that an improvement of the </w:t>
      </w:r>
      <w:r w:rsidR="001B463A">
        <w:t xml:space="preserve">EIRP </w:t>
      </w:r>
      <w:r w:rsidR="00802310">
        <w:t xml:space="preserve">spherical coverage will lead to an improvement of the </w:t>
      </w:r>
      <w:r w:rsidR="004E4792">
        <w:t xml:space="preserve">largest </w:t>
      </w:r>
      <w:r w:rsidR="00802310">
        <w:t>UE RSS.</w:t>
      </w:r>
      <w:r w:rsidR="001B463A">
        <w:t xml:space="preserve"> See </w:t>
      </w:r>
      <w:r w:rsidR="001B463A">
        <w:fldChar w:fldCharType="begin"/>
      </w:r>
      <w:r w:rsidR="001B463A">
        <w:instrText xml:space="preserve"> REF _Ref37311563 \r \h </w:instrText>
      </w:r>
      <w:r w:rsidR="001B463A">
        <w:fldChar w:fldCharType="separate"/>
      </w:r>
      <w:r w:rsidR="002409C3">
        <w:t>[8]</w:t>
      </w:r>
      <w:r w:rsidR="001B463A">
        <w:fldChar w:fldCharType="end"/>
      </w:r>
      <w:r w:rsidR="001B463A">
        <w:t xml:space="preserve"> for details.</w:t>
      </w:r>
    </w:p>
    <w:p w14:paraId="34FEA133" w14:textId="5A18809F" w:rsidR="00C16CC5" w:rsidRDefault="00CE2D10" w:rsidP="00F85C96">
      <w:pPr>
        <w:pStyle w:val="BodyText"/>
        <w:jc w:val="both"/>
      </w:pPr>
      <w:r>
        <w:t>Based on simulation results, CDFs of the largest UE RSS are presented</w:t>
      </w:r>
      <w:r w:rsidRPr="00802310">
        <w:t xml:space="preserve"> </w:t>
      </w:r>
      <w:r>
        <w:t xml:space="preserve">in </w:t>
      </w:r>
      <w:r>
        <w:fldChar w:fldCharType="begin"/>
      </w:r>
      <w:r>
        <w:instrText xml:space="preserve"> REF _Ref37312544 \h </w:instrText>
      </w:r>
      <w:r>
        <w:fldChar w:fldCharType="separate"/>
      </w:r>
      <w:r w:rsidR="002409C3">
        <w:t xml:space="preserve">Figure </w:t>
      </w:r>
      <w:r w:rsidR="002409C3">
        <w:rPr>
          <w:noProof/>
        </w:rPr>
        <w:t>2</w:t>
      </w:r>
      <w:r>
        <w:fldChar w:fldCharType="end"/>
      </w:r>
      <w:r>
        <w:t xml:space="preserve"> for single- and dual-panel configurations. It can be seen that improvements of the EIRP spherical coverage values of handheld UEs (see </w:t>
      </w:r>
      <w:r>
        <w:fldChar w:fldCharType="begin"/>
      </w:r>
      <w:r>
        <w:instrText xml:space="preserve"> REF _Ref32490485 \h </w:instrText>
      </w:r>
      <w:r>
        <w:fldChar w:fldCharType="separate"/>
      </w:r>
      <w:r w:rsidR="002409C3">
        <w:t xml:space="preserve">Figure </w:t>
      </w:r>
      <w:r w:rsidR="002409C3">
        <w:rPr>
          <w:noProof/>
        </w:rPr>
        <w:t>1</w:t>
      </w:r>
      <w:r>
        <w:fldChar w:fldCharType="end"/>
      </w:r>
      <w:r>
        <w:t xml:space="preserve">) translate more or less directly into NR network performance improvements (see </w:t>
      </w:r>
      <w:r>
        <w:fldChar w:fldCharType="begin"/>
      </w:r>
      <w:r>
        <w:instrText xml:space="preserve"> REF _Ref37312544 \h </w:instrText>
      </w:r>
      <w:r>
        <w:fldChar w:fldCharType="separate"/>
      </w:r>
      <w:r w:rsidR="002409C3">
        <w:t xml:space="preserve">Figure </w:t>
      </w:r>
      <w:r w:rsidR="002409C3">
        <w:rPr>
          <w:noProof/>
        </w:rPr>
        <w:t>2</w:t>
      </w:r>
      <w:r>
        <w:fldChar w:fldCharType="end"/>
      </w:r>
      <w:r>
        <w:t xml:space="preserve">). More specifically, an improvement of the spherical coverage value of 3 dB can be observed essentially over the entire range of %-tile values in </w:t>
      </w:r>
      <w:r>
        <w:fldChar w:fldCharType="begin"/>
      </w:r>
      <w:r>
        <w:instrText xml:space="preserve"> REF _Ref37312544 \h </w:instrText>
      </w:r>
      <w:r>
        <w:fldChar w:fldCharType="separate"/>
      </w:r>
      <w:r w:rsidR="002409C3">
        <w:t xml:space="preserve">Figure </w:t>
      </w:r>
      <w:r w:rsidR="002409C3">
        <w:rPr>
          <w:noProof/>
        </w:rPr>
        <w:t>2</w:t>
      </w:r>
      <w:r>
        <w:fldChar w:fldCharType="end"/>
      </w:r>
      <w:r>
        <w:t xml:space="preserve">, which in turn contributes to improving the overall NR network performance. This is the best one could reasonably hope for. Similar improvements of the spherical coverage of multiple panel configurations compared to single-panel configurations for UEs operating in NR networks have previously been reported in, e.g., </w:t>
      </w:r>
      <w:r>
        <w:fldChar w:fldCharType="begin"/>
      </w:r>
      <w:r>
        <w:instrText xml:space="preserve"> REF _Ref32497859 \r \h  \* MERGEFORMAT </w:instrText>
      </w:r>
      <w:r>
        <w:fldChar w:fldCharType="separate"/>
      </w:r>
      <w:r w:rsidR="002409C3">
        <w:t>[4]</w:t>
      </w:r>
      <w:r>
        <w:fldChar w:fldCharType="end"/>
      </w:r>
      <w:r>
        <w:fldChar w:fldCharType="begin"/>
      </w:r>
      <w:r>
        <w:instrText xml:space="preserve"> REF _Ref32497861 \r \h  \* MERGEFORMAT </w:instrText>
      </w:r>
      <w:r>
        <w:fldChar w:fldCharType="separate"/>
      </w:r>
      <w:r w:rsidR="002409C3">
        <w:t>[5]</w:t>
      </w:r>
      <w:r>
        <w:fldChar w:fldCharType="end"/>
      </w:r>
      <w:r>
        <w:fldChar w:fldCharType="begin"/>
      </w:r>
      <w:r>
        <w:instrText xml:space="preserve"> REF _Ref32497864 \r \h  \* MERGEFORMAT </w:instrText>
      </w:r>
      <w:r>
        <w:fldChar w:fldCharType="separate"/>
      </w:r>
      <w:r w:rsidR="002409C3">
        <w:t>[6]</w:t>
      </w:r>
      <w:r>
        <w:fldChar w:fldCharType="end"/>
      </w:r>
      <w:r>
        <w:t>.</w:t>
      </w:r>
    </w:p>
    <w:p w14:paraId="277AE74A" w14:textId="77777777" w:rsidR="00C16CC5" w:rsidRDefault="005228EE" w:rsidP="003C41EE">
      <w:pPr>
        <w:keepNext/>
        <w:jc w:val="center"/>
      </w:pPr>
      <w:r>
        <w:rPr>
          <w:noProof/>
        </w:rPr>
        <w:lastRenderedPageBreak/>
        <mc:AlternateContent>
          <mc:Choice Requires="wpg">
            <w:drawing>
              <wp:anchor distT="0" distB="0" distL="114300" distR="114300" simplePos="0" relativeHeight="251657728" behindDoc="0" locked="0" layoutInCell="1" allowOverlap="1" wp14:anchorId="5D762C10" wp14:editId="198559B3">
                <wp:simplePos x="0" y="0"/>
                <wp:positionH relativeFrom="column">
                  <wp:posOffset>2837815</wp:posOffset>
                </wp:positionH>
                <wp:positionV relativeFrom="paragraph">
                  <wp:posOffset>1398270</wp:posOffset>
                </wp:positionV>
                <wp:extent cx="877570" cy="279400"/>
                <wp:effectExtent l="0" t="0" r="0" b="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7570" cy="279400"/>
                          <a:chOff x="5490" y="3336"/>
                          <a:chExt cx="1382" cy="440"/>
                        </a:xfrm>
                      </wpg:grpSpPr>
                      <wps:wsp>
                        <wps:cNvPr id="5" name="AutoShape 2"/>
                        <wps:cNvCnPr>
                          <a:cxnSpLocks noChangeShapeType="1"/>
                        </wps:cNvCnPr>
                        <wps:spPr bwMode="auto">
                          <a:xfrm>
                            <a:off x="5490" y="3530"/>
                            <a:ext cx="598" cy="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 name="Text Box 4"/>
                        <wps:cNvSpPr txBox="1">
                          <a:spLocks noChangeArrowheads="1"/>
                        </wps:cNvSpPr>
                        <wps:spPr bwMode="auto">
                          <a:xfrm>
                            <a:off x="6184" y="3336"/>
                            <a:ext cx="688"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0891FB" w14:textId="77777777" w:rsidR="00CE2D10" w:rsidRDefault="00CE2D10">
                              <w:r>
                                <w:t>3 dB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762C10" id="Group 5" o:spid="_x0000_s1026" style="position:absolute;left:0;text-align:left;margin-left:223.45pt;margin-top:110.1pt;width:69.1pt;height:22pt;z-index:251657728" coordorigin="5490,3336" coordsize="138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">
                <v:shapetype id="_x0000_t32" coordsize="21600,21600" o:spt="32" o:oned="t" path="m,l21600,21600e" filled="f">
                  <v:path arrowok="t" fillok="f" o:connecttype="none"/>
                  <o:lock v:ext="edit" shapetype="t"/>
                </v:shapetype>
                <v:shape id="AutoShape 2" o:spid="_x0000_s1027" type="#_x0000_t32" style="position:absolute;left:5490;top:3530;width:598;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">
                  <v:stroke startarrow="block" endarrow="block"/>
                </v:shape>
                <v:shapetype id="_x0000_t202" coordsize="21600,21600" o:spt="202" path="m,l,21600r21600,l21600,xe">
                  <v:stroke joinstyle="miter"/>
                  <v:path gradientshapeok="t" o:connecttype="rect"/>
                </v:shapetype>
                <v:shape id="Text Box 4" o:spid="_x0000_s1028" type="#_x0000_t202" style="position:absolute;left:6184;top:3336;width:688;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F0891FB" w14:textId="77777777" w:rsidR="00CE2D10" w:rsidRDefault="00CE2D10">
                        <w:r>
                          <w:t>3 dB</w:t>
                        </w:r>
                      </w:p>
                    </w:txbxContent>
                  </v:textbox>
                </v:shape>
              </v:group>
            </w:pict>
          </mc:Fallback>
        </mc:AlternateContent>
      </w:r>
      <w:r>
        <w:rPr>
          <w:noProof/>
        </w:rPr>
        <w:drawing>
          <wp:inline distT="0" distB="0" distL="0" distR="0" wp14:anchorId="2BCEF37B" wp14:editId="3D5F8C27">
            <wp:extent cx="4353560" cy="3275330"/>
            <wp:effectExtent l="0" t="0" r="0" b="0"/>
            <wp:docPr id="3" name="Picture 3"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3560" cy="3275330"/>
                    </a:xfrm>
                    <a:prstGeom prst="rect">
                      <a:avLst/>
                    </a:prstGeom>
                    <a:noFill/>
                    <a:ln>
                      <a:noFill/>
                    </a:ln>
                  </pic:spPr>
                </pic:pic>
              </a:graphicData>
            </a:graphic>
          </wp:inline>
        </w:drawing>
      </w:r>
    </w:p>
    <w:p w14:paraId="3107B97B" w14:textId="3D3A5A9C" w:rsidR="00C16CC5" w:rsidRPr="00EE1647" w:rsidRDefault="00C16CC5" w:rsidP="00C16CC5">
      <w:pPr>
        <w:pStyle w:val="Caption"/>
        <w:rPr>
          <w:bCs w:val="0"/>
        </w:rPr>
      </w:pPr>
      <w:bookmarkStart w:id="4" w:name="_Ref32497485"/>
      <w:bookmarkStart w:id="5" w:name="_Ref37312544"/>
      <w:r>
        <w:t xml:space="preserve">Figure </w:t>
      </w:r>
      <w:bookmarkEnd w:id="4"/>
      <w:r w:rsidR="00A6252D">
        <w:fldChar w:fldCharType="begin"/>
      </w:r>
      <w:r w:rsidR="00A6252D">
        <w:instrText xml:space="preserve"> SEQ Figure \* ARABIC </w:instrText>
      </w:r>
      <w:r w:rsidR="00A6252D">
        <w:fldChar w:fldCharType="separate"/>
      </w:r>
      <w:r w:rsidR="002409C3">
        <w:rPr>
          <w:noProof/>
        </w:rPr>
        <w:t>2</w:t>
      </w:r>
      <w:r w:rsidR="00A6252D">
        <w:fldChar w:fldCharType="end"/>
      </w:r>
      <w:bookmarkEnd w:id="5"/>
      <w:r>
        <w:t xml:space="preserve">. </w:t>
      </w:r>
      <w:r w:rsidRPr="00EE1647">
        <w:rPr>
          <w:bCs w:val="0"/>
        </w:rPr>
        <w:t xml:space="preserve">CDF of the </w:t>
      </w:r>
      <w:r w:rsidR="00802310" w:rsidRPr="00EE1647">
        <w:rPr>
          <w:bCs w:val="0"/>
        </w:rPr>
        <w:t>largest UE</w:t>
      </w:r>
      <w:r w:rsidR="00047AB7" w:rsidRPr="00EE1647">
        <w:rPr>
          <w:bCs w:val="0"/>
        </w:rPr>
        <w:t xml:space="preserve"> received signal strength</w:t>
      </w:r>
      <w:r w:rsidRPr="00EE1647">
        <w:rPr>
          <w:bCs w:val="0"/>
        </w:rPr>
        <w:t xml:space="preserve"> of handheld UEs in a NR network in an urban macro cell environment</w:t>
      </w:r>
      <w:r w:rsidR="00824425" w:rsidRPr="00EE1647">
        <w:rPr>
          <w:bCs w:val="0"/>
        </w:rPr>
        <w:t xml:space="preserve"> with 19 micro sites, 3 cells per site, 127 beams per cell and 500 UEs</w:t>
      </w:r>
      <w:r w:rsidRPr="00EE1647">
        <w:rPr>
          <w:bCs w:val="0"/>
        </w:rPr>
        <w:t>.</w:t>
      </w:r>
      <w:r w:rsidR="001B463A" w:rsidRPr="00EE1647">
        <w:rPr>
          <w:bCs w:val="0"/>
        </w:rPr>
        <w:t xml:space="preserve"> Reproduced from </w:t>
      </w:r>
      <w:r w:rsidR="001B463A" w:rsidRPr="00EE1647">
        <w:rPr>
          <w:bCs w:val="0"/>
        </w:rPr>
        <w:fldChar w:fldCharType="begin"/>
      </w:r>
      <w:r w:rsidR="001B463A" w:rsidRPr="00EE1647">
        <w:rPr>
          <w:bCs w:val="0"/>
        </w:rPr>
        <w:instrText xml:space="preserve"> REF _Ref37311563 \r \h  \* MERGEFORMAT </w:instrText>
      </w:r>
      <w:r w:rsidR="001B463A" w:rsidRPr="00EE1647">
        <w:rPr>
          <w:bCs w:val="0"/>
        </w:rPr>
      </w:r>
      <w:r w:rsidR="001B463A" w:rsidRPr="00EE1647">
        <w:rPr>
          <w:bCs w:val="0"/>
        </w:rPr>
        <w:fldChar w:fldCharType="separate"/>
      </w:r>
      <w:r w:rsidR="002409C3">
        <w:rPr>
          <w:bCs w:val="0"/>
        </w:rPr>
        <w:t>[8]</w:t>
      </w:r>
      <w:r w:rsidR="001B463A" w:rsidRPr="00EE1647">
        <w:rPr>
          <w:bCs w:val="0"/>
        </w:rPr>
        <w:fldChar w:fldCharType="end"/>
      </w:r>
      <w:r w:rsidR="001B463A" w:rsidRPr="00EE1647">
        <w:rPr>
          <w:bCs w:val="0"/>
        </w:rPr>
        <w:t>.</w:t>
      </w:r>
    </w:p>
    <w:p w14:paraId="528B9E18" w14:textId="77777777" w:rsidR="00CF1593" w:rsidRDefault="00CF1593" w:rsidP="00F85C96">
      <w:pPr>
        <w:pStyle w:val="BodyText"/>
        <w:jc w:val="both"/>
      </w:pPr>
    </w:p>
    <w:p w14:paraId="27A5A81B" w14:textId="7AEA002D" w:rsidR="00C16CC5" w:rsidRDefault="00FD661D" w:rsidP="00F85C96">
      <w:pPr>
        <w:pStyle w:val="BodyText"/>
        <w:jc w:val="both"/>
        <w:rPr>
          <w:b/>
          <w:bCs/>
        </w:rPr>
      </w:pPr>
      <w:r>
        <w:rPr>
          <w:b/>
          <w:bCs/>
        </w:rPr>
        <w:t>Observation</w:t>
      </w:r>
      <w:r w:rsidR="001C07CC">
        <w:rPr>
          <w:b/>
          <w:bCs/>
        </w:rPr>
        <w:t xml:space="preserve"> 2</w:t>
      </w:r>
      <w:r w:rsidR="00C16CC5" w:rsidRPr="00A71342">
        <w:rPr>
          <w:b/>
          <w:bCs/>
        </w:rPr>
        <w:t xml:space="preserve">: </w:t>
      </w:r>
      <w:r w:rsidR="00143EBB">
        <w:rPr>
          <w:b/>
          <w:bCs/>
        </w:rPr>
        <w:t xml:space="preserve">Improvements of EIRP spherical coverage </w:t>
      </w:r>
      <w:r w:rsidR="00143EBB" w:rsidRPr="00143EBB">
        <w:rPr>
          <w:b/>
          <w:bCs/>
        </w:rPr>
        <w:t>values of</w:t>
      </w:r>
      <w:r w:rsidR="004E4792">
        <w:rPr>
          <w:b/>
          <w:bCs/>
        </w:rPr>
        <w:t xml:space="preserve"> handheld</w:t>
      </w:r>
      <w:r w:rsidR="00143EBB" w:rsidRPr="00143EBB">
        <w:rPr>
          <w:b/>
          <w:bCs/>
        </w:rPr>
        <w:t xml:space="preserve"> UEs (see </w:t>
      </w:r>
      <w:r w:rsidR="00143EBB" w:rsidRPr="00143EBB">
        <w:rPr>
          <w:b/>
          <w:bCs/>
        </w:rPr>
        <w:fldChar w:fldCharType="begin"/>
      </w:r>
      <w:r w:rsidR="00143EBB" w:rsidRPr="00143EBB">
        <w:rPr>
          <w:b/>
          <w:bCs/>
        </w:rPr>
        <w:instrText xml:space="preserve"> REF _Ref32490485 \h </w:instrText>
      </w:r>
      <w:r w:rsidR="00143EBB">
        <w:rPr>
          <w:b/>
          <w:bCs/>
        </w:rPr>
        <w:instrText xml:space="preserve"> \* MERGEFORMAT </w:instrText>
      </w:r>
      <w:r w:rsidR="00143EBB" w:rsidRPr="00143EBB">
        <w:rPr>
          <w:b/>
          <w:bCs/>
        </w:rPr>
      </w:r>
      <w:r w:rsidR="00143EBB" w:rsidRPr="00143EBB">
        <w:rPr>
          <w:b/>
          <w:bCs/>
        </w:rPr>
        <w:fldChar w:fldCharType="separate"/>
      </w:r>
      <w:r w:rsidR="002409C3" w:rsidRPr="002409C3">
        <w:rPr>
          <w:b/>
          <w:bCs/>
        </w:rPr>
        <w:t xml:space="preserve">Figure </w:t>
      </w:r>
      <w:r w:rsidR="002409C3" w:rsidRPr="002409C3">
        <w:rPr>
          <w:b/>
          <w:bCs/>
          <w:noProof/>
        </w:rPr>
        <w:t>1</w:t>
      </w:r>
      <w:r w:rsidR="00143EBB" w:rsidRPr="00143EBB">
        <w:rPr>
          <w:b/>
          <w:bCs/>
        </w:rPr>
        <w:fldChar w:fldCharType="end"/>
      </w:r>
      <w:r w:rsidR="00143EBB" w:rsidRPr="00143EBB">
        <w:rPr>
          <w:b/>
          <w:bCs/>
        </w:rPr>
        <w:t xml:space="preserve">) translate </w:t>
      </w:r>
      <w:r w:rsidR="006C7491">
        <w:rPr>
          <w:b/>
          <w:bCs/>
        </w:rPr>
        <w:t>directly</w:t>
      </w:r>
      <w:r w:rsidR="006C7491" w:rsidRPr="00143EBB">
        <w:rPr>
          <w:b/>
          <w:bCs/>
        </w:rPr>
        <w:t xml:space="preserve"> </w:t>
      </w:r>
      <w:r w:rsidR="00143EBB" w:rsidRPr="00143EBB">
        <w:rPr>
          <w:b/>
          <w:bCs/>
        </w:rPr>
        <w:t>into NR network performance improvements</w:t>
      </w:r>
      <w:r w:rsidR="004E4792">
        <w:rPr>
          <w:b/>
          <w:bCs/>
        </w:rPr>
        <w:t xml:space="preserve"> (</w:t>
      </w:r>
      <w:r w:rsidR="004E4792" w:rsidRPr="004E4792">
        <w:rPr>
          <w:b/>
          <w:bCs/>
        </w:rPr>
        <w:t>see</w:t>
      </w:r>
      <w:r w:rsidR="00A00203" w:rsidRPr="00A00203">
        <w:rPr>
          <w:b/>
          <w:bCs/>
        </w:rPr>
        <w:t xml:space="preserve"> </w:t>
      </w:r>
      <w:r w:rsidR="00A00203" w:rsidRPr="00A00203">
        <w:rPr>
          <w:b/>
          <w:bCs/>
        </w:rPr>
        <w:fldChar w:fldCharType="begin"/>
      </w:r>
      <w:r w:rsidR="00A00203" w:rsidRPr="00A00203">
        <w:rPr>
          <w:b/>
          <w:bCs/>
        </w:rPr>
        <w:instrText xml:space="preserve"> REF _Ref37312544 \h  \* MERGEFORMAT </w:instrText>
      </w:r>
      <w:r w:rsidR="00A00203" w:rsidRPr="00A00203">
        <w:rPr>
          <w:b/>
          <w:bCs/>
        </w:rPr>
      </w:r>
      <w:r w:rsidR="00A00203" w:rsidRPr="00A00203">
        <w:rPr>
          <w:b/>
          <w:bCs/>
        </w:rPr>
        <w:fldChar w:fldCharType="separate"/>
      </w:r>
      <w:r w:rsidR="002409C3" w:rsidRPr="002409C3">
        <w:rPr>
          <w:b/>
          <w:bCs/>
        </w:rPr>
        <w:t xml:space="preserve">Figure </w:t>
      </w:r>
      <w:r w:rsidR="002409C3" w:rsidRPr="002409C3">
        <w:rPr>
          <w:b/>
          <w:bCs/>
          <w:noProof/>
        </w:rPr>
        <w:t>2</w:t>
      </w:r>
      <w:r w:rsidR="00A00203" w:rsidRPr="00A00203">
        <w:rPr>
          <w:b/>
          <w:bCs/>
        </w:rPr>
        <w:fldChar w:fldCharType="end"/>
      </w:r>
      <w:r w:rsidR="004E4792" w:rsidRPr="004E4792">
        <w:rPr>
          <w:b/>
          <w:bCs/>
        </w:rPr>
        <w:t>)</w:t>
      </w:r>
      <w:r w:rsidR="00C16CC5" w:rsidRPr="004E4792">
        <w:rPr>
          <w:b/>
          <w:bCs/>
        </w:rPr>
        <w:t>.</w:t>
      </w:r>
      <w:r w:rsidR="004E4792">
        <w:rPr>
          <w:b/>
          <w:bCs/>
        </w:rPr>
        <w:t xml:space="preserve"> </w:t>
      </w:r>
    </w:p>
    <w:p w14:paraId="192ECB09" w14:textId="77777777" w:rsidR="00CE2D10" w:rsidRDefault="00CE2D10" w:rsidP="00F85C96">
      <w:pPr>
        <w:pStyle w:val="BodyText"/>
        <w:jc w:val="both"/>
        <w:rPr>
          <w:b/>
          <w:bCs/>
        </w:rPr>
      </w:pPr>
    </w:p>
    <w:p w14:paraId="332FC6BA" w14:textId="77777777" w:rsidR="00B422A9" w:rsidRDefault="0056263E" w:rsidP="00F85C96">
      <w:pPr>
        <w:pStyle w:val="BodyText"/>
        <w:jc w:val="both"/>
      </w:pPr>
      <w:r>
        <w:t xml:space="preserve">In the light of these results, </w:t>
      </w:r>
      <w:r w:rsidR="00143EBB">
        <w:t>we</w:t>
      </w:r>
      <w:r w:rsidR="00824425">
        <w:t xml:space="preserve"> conclude that exploiting EIRP spherical coverage headroom available to handheld UEs in a NR network is </w:t>
      </w:r>
      <w:r w:rsidR="00143EBB">
        <w:t xml:space="preserve">highly </w:t>
      </w:r>
      <w:r w:rsidR="00824425">
        <w:t xml:space="preserve">desirable. At the same time, </w:t>
      </w:r>
      <w:r w:rsidR="00143EBB">
        <w:t xml:space="preserve">however, </w:t>
      </w:r>
      <w:r w:rsidR="00824425">
        <w:t xml:space="preserve">handheld UEs barely complying to PC3 EIRP spherical coverage requirements should be able to pass </w:t>
      </w:r>
      <w:r w:rsidR="008F3AE5">
        <w:t xml:space="preserve">NR compliance tests </w:t>
      </w:r>
      <w:r w:rsidR="00824425">
        <w:t>unhindered.</w:t>
      </w:r>
      <w:r w:rsidR="008F3AE5">
        <w:t xml:space="preserve"> </w:t>
      </w:r>
      <w:r w:rsidR="004D0A43">
        <w:t xml:space="preserve">In our view, the </w:t>
      </w:r>
      <w:r w:rsidR="00CA0210">
        <w:t>improvement of spherical coverage</w:t>
      </w:r>
      <w:r w:rsidR="004D0A43">
        <w:t xml:space="preserve"> should have significantly more stringent EIRP spherical coverage requirements than those of current PC3 but still based on a handheld UE form</w:t>
      </w:r>
      <w:r w:rsidR="006C7491">
        <w:t xml:space="preserve"> </w:t>
      </w:r>
      <w:r w:rsidR="004D0A43">
        <w:t>factor</w:t>
      </w:r>
      <w:r w:rsidR="00CA0210">
        <w:t xml:space="preserve">, which may need a new power class to support it. </w:t>
      </w:r>
      <w:r w:rsidR="000576D3">
        <w:t xml:space="preserve">Currently, </w:t>
      </w:r>
      <w:r w:rsidR="00633AF0">
        <w:t xml:space="preserve">a </w:t>
      </w:r>
      <w:r w:rsidR="00233A7C">
        <w:t>high-performance</w:t>
      </w:r>
      <w:r w:rsidR="000576D3">
        <w:t xml:space="preserve"> UE (HPUE)</w:t>
      </w:r>
      <w:r w:rsidR="00F85C96">
        <w:t xml:space="preserve"> power class</w:t>
      </w:r>
      <w:r w:rsidR="000576D3">
        <w:t xml:space="preserve"> exists in FR1 but not in FR2. </w:t>
      </w:r>
      <w:r w:rsidR="00CA0210">
        <w:t xml:space="preserve">Therefore, </w:t>
      </w:r>
      <w:r w:rsidR="000576D3">
        <w:t xml:space="preserve">defining a new power class for HPUE in FR2 can be a feasible way to enhance the current handheld UEs. </w:t>
      </w:r>
    </w:p>
    <w:p w14:paraId="4AE798B9" w14:textId="77777777" w:rsidR="00CE2D10" w:rsidRDefault="00CE2D10" w:rsidP="00F85C96">
      <w:pPr>
        <w:pStyle w:val="BodyText"/>
        <w:jc w:val="both"/>
        <w:rPr>
          <w:b/>
          <w:bCs/>
        </w:rPr>
      </w:pPr>
    </w:p>
    <w:p w14:paraId="31DAD22A" w14:textId="531C8398" w:rsidR="00B363B5" w:rsidRDefault="00CF1593" w:rsidP="00F85C96">
      <w:pPr>
        <w:pStyle w:val="BodyText"/>
        <w:jc w:val="both"/>
        <w:rPr>
          <w:b/>
          <w:bCs/>
        </w:rPr>
      </w:pPr>
      <w:r>
        <w:rPr>
          <w:b/>
          <w:bCs/>
        </w:rPr>
        <w:t xml:space="preserve">Observation </w:t>
      </w:r>
      <w:r w:rsidR="001C07CC">
        <w:rPr>
          <w:b/>
          <w:bCs/>
        </w:rPr>
        <w:t>3</w:t>
      </w:r>
      <w:r w:rsidR="004D0A43" w:rsidRPr="00A71342">
        <w:rPr>
          <w:b/>
          <w:bCs/>
        </w:rPr>
        <w:t xml:space="preserve">: </w:t>
      </w:r>
      <w:r>
        <w:rPr>
          <w:b/>
          <w:bCs/>
        </w:rPr>
        <w:t xml:space="preserve">Any potential </w:t>
      </w:r>
      <w:r w:rsidR="004D0A43">
        <w:rPr>
          <w:b/>
          <w:bCs/>
        </w:rPr>
        <w:t xml:space="preserve">new power class for </w:t>
      </w:r>
      <w:r w:rsidR="000576D3">
        <w:rPr>
          <w:b/>
          <w:bCs/>
        </w:rPr>
        <w:t xml:space="preserve">high performance </w:t>
      </w:r>
      <w:r w:rsidR="004D0A43">
        <w:rPr>
          <w:b/>
          <w:bCs/>
        </w:rPr>
        <w:t>handheld UEs</w:t>
      </w:r>
      <w:r w:rsidR="004D0A43" w:rsidRPr="00F85C96">
        <w:rPr>
          <w:b/>
          <w:bCs/>
        </w:rPr>
        <w:t xml:space="preserve"> should have significantly more </w:t>
      </w:r>
      <w:r>
        <w:rPr>
          <w:b/>
          <w:bCs/>
        </w:rPr>
        <w:t>enhanced</w:t>
      </w:r>
      <w:r w:rsidRPr="00F85C96">
        <w:rPr>
          <w:b/>
          <w:bCs/>
        </w:rPr>
        <w:t xml:space="preserve"> </w:t>
      </w:r>
      <w:r w:rsidR="004D0A43" w:rsidRPr="00F85C96">
        <w:rPr>
          <w:b/>
          <w:bCs/>
        </w:rPr>
        <w:t xml:space="preserve">spherical coverage than those of current PC3 </w:t>
      </w:r>
      <w:r>
        <w:rPr>
          <w:b/>
          <w:bCs/>
        </w:rPr>
        <w:t xml:space="preserve">to provide observable gain to the network, </w:t>
      </w:r>
      <w:r w:rsidR="004D0A43" w:rsidRPr="00F85C96">
        <w:rPr>
          <w:b/>
          <w:bCs/>
        </w:rPr>
        <w:t>but still based on a handheld UE form</w:t>
      </w:r>
      <w:r w:rsidR="004D0A43">
        <w:rPr>
          <w:b/>
          <w:bCs/>
        </w:rPr>
        <w:t xml:space="preserve"> </w:t>
      </w:r>
      <w:r w:rsidR="004D0A43" w:rsidRPr="00F85C96">
        <w:rPr>
          <w:b/>
          <w:bCs/>
        </w:rPr>
        <w:t>factor.</w:t>
      </w:r>
    </w:p>
    <w:p w14:paraId="32BD70BF" w14:textId="77777777" w:rsidR="00CE2D10" w:rsidRDefault="00CE2D10" w:rsidP="00F85C96">
      <w:pPr>
        <w:pStyle w:val="BodyText"/>
        <w:jc w:val="both"/>
      </w:pPr>
    </w:p>
    <w:p w14:paraId="6B977AB2" w14:textId="60D27D3F" w:rsidR="00A430DF" w:rsidRDefault="004D0A43" w:rsidP="00F85C96">
      <w:pPr>
        <w:pStyle w:val="BodyText"/>
        <w:jc w:val="both"/>
      </w:pPr>
      <w:r>
        <w:t xml:space="preserve">Different </w:t>
      </w:r>
      <w:r w:rsidR="006C7491">
        <w:t>methods</w:t>
      </w:r>
      <w:r>
        <w:t xml:space="preserve"> can be used to increase the spherical coverage of </w:t>
      </w:r>
      <w:r w:rsidR="00B363B5">
        <w:t>handheld</w:t>
      </w:r>
      <w:r>
        <w:t xml:space="preserve"> UE</w:t>
      </w:r>
      <w:r w:rsidR="00633AF0">
        <w:t>s</w:t>
      </w:r>
      <w:r w:rsidR="006C7491">
        <w:t xml:space="preserve">. </w:t>
      </w:r>
      <w:r>
        <w:rPr>
          <w:lang w:val="en-US"/>
        </w:rPr>
        <w:t xml:space="preserve">One is to add more antenna panels to cover more directions, </w:t>
      </w:r>
      <w:r w:rsidR="00CE2D10">
        <w:rPr>
          <w:lang w:val="en-US"/>
        </w:rPr>
        <w:t xml:space="preserve">as well as optimizing the panel placement, UE form factor and the materials of the UE case, </w:t>
      </w:r>
      <w:r>
        <w:rPr>
          <w:lang w:val="en-US"/>
        </w:rPr>
        <w:t xml:space="preserve">which has been demonstrated in the first part of </w:t>
      </w:r>
      <w:r w:rsidR="006C7491">
        <w:rPr>
          <w:lang w:val="en-US"/>
        </w:rPr>
        <w:t>this</w:t>
      </w:r>
      <w:r>
        <w:rPr>
          <w:lang w:val="en-US"/>
        </w:rPr>
        <w:t xml:space="preserve"> contribution. Another approach is to increase the transmitted power</w:t>
      </w:r>
      <w:r w:rsidR="00264B21">
        <w:rPr>
          <w:lang w:val="en-US"/>
        </w:rPr>
        <w:t>.</w:t>
      </w:r>
      <w:r>
        <w:rPr>
          <w:lang w:val="en-US"/>
        </w:rPr>
        <w:t xml:space="preserve"> </w:t>
      </w:r>
      <w:r w:rsidR="006C7491">
        <w:rPr>
          <w:lang w:val="en-US"/>
        </w:rPr>
        <w:t>Compared to the first method, the latter one</w:t>
      </w:r>
      <w:r>
        <w:rPr>
          <w:lang w:val="en-US"/>
        </w:rPr>
        <w:t xml:space="preserve"> </w:t>
      </w:r>
      <w:r w:rsidR="006C7491">
        <w:rPr>
          <w:lang w:val="en-US"/>
        </w:rPr>
        <w:t>typically consumes</w:t>
      </w:r>
      <w:r>
        <w:rPr>
          <w:lang w:val="en-US"/>
        </w:rPr>
        <w:t xml:space="preserve"> much more battery</w:t>
      </w:r>
      <w:r w:rsidR="002E5F46">
        <w:rPr>
          <w:lang w:val="en-US"/>
        </w:rPr>
        <w:t xml:space="preserve"> as well as more advanced semi-conductor technology, </w:t>
      </w:r>
      <w:r>
        <w:rPr>
          <w:lang w:val="en-US"/>
        </w:rPr>
        <w:t xml:space="preserve">and </w:t>
      </w:r>
      <w:r w:rsidR="002E5F46">
        <w:rPr>
          <w:lang w:val="en-US"/>
        </w:rPr>
        <w:t xml:space="preserve">it </w:t>
      </w:r>
      <w:r w:rsidR="002F0262">
        <w:rPr>
          <w:lang w:val="en-US"/>
        </w:rPr>
        <w:t>may</w:t>
      </w:r>
      <w:r>
        <w:rPr>
          <w:lang w:val="en-US"/>
        </w:rPr>
        <w:t xml:space="preserve"> be only triggered when the UE operates in some special mode, </w:t>
      </w:r>
      <w:r w:rsidR="006C7491">
        <w:rPr>
          <w:lang w:val="en-US"/>
        </w:rPr>
        <w:t>such as</w:t>
      </w:r>
      <w:r>
        <w:rPr>
          <w:lang w:val="en-US"/>
        </w:rPr>
        <w:t xml:space="preserve"> </w:t>
      </w:r>
      <w:r w:rsidR="006C7491">
        <w:rPr>
          <w:lang w:val="en-US"/>
        </w:rPr>
        <w:t xml:space="preserve">when </w:t>
      </w:r>
      <w:r>
        <w:rPr>
          <w:lang w:val="en-US"/>
        </w:rPr>
        <w:t xml:space="preserve">a UE is connected </w:t>
      </w:r>
      <w:r w:rsidR="006C7491">
        <w:rPr>
          <w:lang w:val="en-US"/>
        </w:rPr>
        <w:t>to an</w:t>
      </w:r>
      <w:r>
        <w:rPr>
          <w:lang w:val="en-US"/>
        </w:rPr>
        <w:t xml:space="preserve"> external power supply. Therefore, a </w:t>
      </w:r>
      <w:r w:rsidR="00CA0210">
        <w:rPr>
          <w:lang w:val="en-US"/>
        </w:rPr>
        <w:t xml:space="preserve">handheld </w:t>
      </w:r>
      <w:r>
        <w:t xml:space="preserve">UE </w:t>
      </w:r>
      <w:r w:rsidR="006C7491">
        <w:t>that supports</w:t>
      </w:r>
      <w:r>
        <w:t xml:space="preserve"> a higher PC shall be allowed to </w:t>
      </w:r>
      <w:r w:rsidR="006C7491">
        <w:t>back</w:t>
      </w:r>
      <w:r>
        <w:t xml:space="preserve"> off to PC3 for</w:t>
      </w:r>
      <w:r w:rsidR="006C7491">
        <w:t>, e.g.,</w:t>
      </w:r>
      <w:r>
        <w:t xml:space="preserve"> power saving purpose. In addition, </w:t>
      </w:r>
      <w:r w:rsidR="00331387">
        <w:t>t</w:t>
      </w:r>
      <w:r w:rsidR="008F3AE5">
        <w:t>o allow coexistence with legacy or budget handheld UEs, the new power class for handheld devices should be optional</w:t>
      </w:r>
      <w:r>
        <w:t xml:space="preserve">. </w:t>
      </w:r>
      <w:r w:rsidR="00633AF0">
        <w:t>Therefore, supporting</w:t>
      </w:r>
      <w:r>
        <w:t xml:space="preserve"> the new power class </w:t>
      </w:r>
      <w:r w:rsidR="00B363B5">
        <w:t>can be designed</w:t>
      </w:r>
      <w:r>
        <w:t xml:space="preserve"> be </w:t>
      </w:r>
      <w:r w:rsidR="006C7491">
        <w:t>an optional</w:t>
      </w:r>
      <w:r>
        <w:t xml:space="preserve"> and dynamic </w:t>
      </w:r>
      <w:r w:rsidR="00CA0210">
        <w:t>feature</w:t>
      </w:r>
      <w:r>
        <w:t xml:space="preserve"> of </w:t>
      </w:r>
      <w:r w:rsidR="00CA0210">
        <w:t xml:space="preserve">handheld </w:t>
      </w:r>
      <w:r w:rsidR="006C7491">
        <w:t>UEs</w:t>
      </w:r>
      <w:r>
        <w:t xml:space="preserve">.  </w:t>
      </w:r>
    </w:p>
    <w:p w14:paraId="2D4AFE6B" w14:textId="77777777" w:rsidR="00CE2D10" w:rsidRDefault="00CE2D10" w:rsidP="00CA0210">
      <w:pPr>
        <w:pStyle w:val="BodyText"/>
        <w:jc w:val="both"/>
        <w:rPr>
          <w:b/>
          <w:bCs/>
        </w:rPr>
      </w:pPr>
    </w:p>
    <w:p w14:paraId="310F1D2C" w14:textId="061BD3CD" w:rsidR="00CA0210" w:rsidRPr="00F85C96" w:rsidRDefault="004D0A43" w:rsidP="00CA0210">
      <w:pPr>
        <w:pStyle w:val="BodyText"/>
        <w:jc w:val="both"/>
        <w:rPr>
          <w:b/>
          <w:bCs/>
        </w:rPr>
      </w:pPr>
      <w:r>
        <w:rPr>
          <w:b/>
          <w:bCs/>
        </w:rPr>
        <w:t xml:space="preserve">Proposal </w:t>
      </w:r>
      <w:r w:rsidR="001C07CC">
        <w:rPr>
          <w:b/>
          <w:bCs/>
        </w:rPr>
        <w:t>1</w:t>
      </w:r>
      <w:r>
        <w:rPr>
          <w:b/>
          <w:bCs/>
        </w:rPr>
        <w:t xml:space="preserve">: </w:t>
      </w:r>
      <w:r w:rsidR="00CA0210" w:rsidRPr="00F85C96">
        <w:rPr>
          <w:b/>
          <w:bCs/>
        </w:rPr>
        <w:t xml:space="preserve"> </w:t>
      </w:r>
      <w:r w:rsidR="00CA0210">
        <w:rPr>
          <w:b/>
          <w:bCs/>
        </w:rPr>
        <w:t>S</w:t>
      </w:r>
      <w:r w:rsidR="00CA0210" w:rsidRPr="00F85C96">
        <w:rPr>
          <w:b/>
          <w:bCs/>
        </w:rPr>
        <w:t xml:space="preserve">upporting the new power class can be designed be an </w:t>
      </w:r>
      <w:r w:rsidR="00CA0210" w:rsidRPr="008413C9">
        <w:rPr>
          <w:b/>
          <w:bCs/>
          <w:i/>
          <w:iCs/>
        </w:rPr>
        <w:t>optional</w:t>
      </w:r>
      <w:r w:rsidR="00CA0210" w:rsidRPr="00F85C96">
        <w:rPr>
          <w:b/>
          <w:bCs/>
        </w:rPr>
        <w:t xml:space="preserve"> and </w:t>
      </w:r>
      <w:r w:rsidR="00CA0210" w:rsidRPr="008413C9">
        <w:rPr>
          <w:b/>
          <w:bCs/>
          <w:i/>
          <w:iCs/>
        </w:rPr>
        <w:t>dynamic</w:t>
      </w:r>
      <w:r w:rsidR="00CA0210" w:rsidRPr="00F85C96">
        <w:rPr>
          <w:b/>
          <w:bCs/>
        </w:rPr>
        <w:t xml:space="preserve"> </w:t>
      </w:r>
      <w:r w:rsidR="00CA0210">
        <w:rPr>
          <w:b/>
          <w:bCs/>
        </w:rPr>
        <w:t>feature</w:t>
      </w:r>
      <w:r w:rsidR="00CA0210" w:rsidRPr="00F85C96">
        <w:rPr>
          <w:b/>
          <w:bCs/>
        </w:rPr>
        <w:t xml:space="preserve"> of handheld UEs.  </w:t>
      </w:r>
    </w:p>
    <w:p w14:paraId="2BDEF3B5" w14:textId="77777777" w:rsidR="00277A2C" w:rsidRDefault="00277A2C" w:rsidP="00F85C96">
      <w:pPr>
        <w:pStyle w:val="BodyText"/>
        <w:jc w:val="both"/>
      </w:pPr>
    </w:p>
    <w:bookmarkEnd w:id="0"/>
    <w:p w14:paraId="5F45C7B7" w14:textId="77777777" w:rsidR="00233A7C" w:rsidRDefault="00233A7C">
      <w:pPr>
        <w:rPr>
          <w:rFonts w:ascii="Arial" w:hAnsi="Arial"/>
          <w:b/>
          <w:sz w:val="24"/>
          <w:lang w:val="en-US"/>
        </w:rPr>
      </w:pPr>
    </w:p>
    <w:p w14:paraId="130BB07E" w14:textId="77777777" w:rsidR="000230B3" w:rsidRDefault="00025FCD" w:rsidP="008D6E62">
      <w:pPr>
        <w:pStyle w:val="Heading1"/>
        <w:rPr>
          <w:lang w:val="en-US"/>
        </w:rPr>
      </w:pPr>
      <w:r>
        <w:rPr>
          <w:lang w:val="en-US"/>
        </w:rPr>
        <w:lastRenderedPageBreak/>
        <w:t>Conclusions</w:t>
      </w:r>
    </w:p>
    <w:p w14:paraId="427E92A9" w14:textId="77777777" w:rsidR="00CD7DFD" w:rsidRDefault="00025FCD" w:rsidP="000230B3">
      <w:pPr>
        <w:pStyle w:val="BodyText"/>
        <w:jc w:val="both"/>
        <w:rPr>
          <w:lang w:val="en-US"/>
        </w:rPr>
      </w:pPr>
      <w:r>
        <w:rPr>
          <w:lang w:val="en-US"/>
        </w:rPr>
        <w:t>In this contribution</w:t>
      </w:r>
      <w:r w:rsidR="00CD7DFD">
        <w:rPr>
          <w:lang w:val="en-US"/>
        </w:rPr>
        <w:t xml:space="preserve"> we have shared our views on improvement of spherical coverage for PCs. The</w:t>
      </w:r>
      <w:r>
        <w:rPr>
          <w:lang w:val="en-US"/>
        </w:rPr>
        <w:t xml:space="preserve"> following observations</w:t>
      </w:r>
      <w:r w:rsidR="00971AA0">
        <w:rPr>
          <w:lang w:val="en-US"/>
        </w:rPr>
        <w:t xml:space="preserve"> </w:t>
      </w:r>
      <w:r w:rsidR="00CD7DFD">
        <w:rPr>
          <w:lang w:val="en-US"/>
        </w:rPr>
        <w:t>have been made</w:t>
      </w:r>
      <w:r w:rsidR="00971AA0">
        <w:rPr>
          <w:lang w:val="en-US"/>
        </w:rPr>
        <w:t>:</w:t>
      </w:r>
    </w:p>
    <w:p w14:paraId="0CCD42C7" w14:textId="26954F04" w:rsidR="003C2956" w:rsidRDefault="001C07CC" w:rsidP="003C2956">
      <w:pPr>
        <w:pStyle w:val="BodyText"/>
        <w:jc w:val="both"/>
        <w:rPr>
          <w:b/>
          <w:bCs/>
        </w:rPr>
      </w:pPr>
      <w:r w:rsidRPr="00A71342">
        <w:rPr>
          <w:b/>
          <w:bCs/>
        </w:rPr>
        <w:t>Observation</w:t>
      </w:r>
      <w:r>
        <w:rPr>
          <w:b/>
          <w:bCs/>
        </w:rPr>
        <w:t xml:space="preserve"> 1</w:t>
      </w:r>
      <w:r w:rsidRPr="00A71342">
        <w:rPr>
          <w:b/>
          <w:bCs/>
        </w:rPr>
        <w:t xml:space="preserve">: </w:t>
      </w:r>
      <w:r>
        <w:rPr>
          <w:b/>
          <w:bCs/>
        </w:rPr>
        <w:t>The EIRP spherical coverage performance of handheld UEs depends not only on the number of antenna panels but also on other contributing factors, such as the placement of the antenna panels.</w:t>
      </w:r>
    </w:p>
    <w:p w14:paraId="1CDBEA26" w14:textId="4CBD0B90" w:rsidR="00BC31B4" w:rsidRDefault="001C07CC" w:rsidP="00432D37">
      <w:pPr>
        <w:rPr>
          <w:b/>
          <w:bCs/>
        </w:rPr>
      </w:pPr>
      <w:r>
        <w:rPr>
          <w:b/>
          <w:bCs/>
        </w:rPr>
        <w:t>Observation 2</w:t>
      </w:r>
      <w:r w:rsidRPr="00A71342">
        <w:rPr>
          <w:b/>
          <w:bCs/>
        </w:rPr>
        <w:t xml:space="preserve">: </w:t>
      </w:r>
      <w:r>
        <w:rPr>
          <w:b/>
          <w:bCs/>
        </w:rPr>
        <w:t xml:space="preserve">Improvements of EIRP spherical coverage </w:t>
      </w:r>
      <w:r w:rsidRPr="00143EBB">
        <w:rPr>
          <w:b/>
          <w:bCs/>
        </w:rPr>
        <w:t>values of</w:t>
      </w:r>
      <w:r>
        <w:rPr>
          <w:b/>
          <w:bCs/>
        </w:rPr>
        <w:t xml:space="preserve"> handheld</w:t>
      </w:r>
      <w:r w:rsidRPr="00143EBB">
        <w:rPr>
          <w:b/>
          <w:bCs/>
        </w:rPr>
        <w:t xml:space="preserve"> UEs (see </w:t>
      </w:r>
      <w:r w:rsidRPr="00143EBB">
        <w:rPr>
          <w:b/>
          <w:bCs/>
        </w:rPr>
        <w:fldChar w:fldCharType="begin"/>
      </w:r>
      <w:r w:rsidRPr="00143EBB">
        <w:rPr>
          <w:b/>
          <w:bCs/>
        </w:rPr>
        <w:instrText xml:space="preserve"> REF _Ref32490485 \h </w:instrText>
      </w:r>
      <w:r>
        <w:rPr>
          <w:b/>
          <w:bCs/>
        </w:rPr>
        <w:instrText xml:space="preserve"> \* MERGEFORMAT </w:instrText>
      </w:r>
      <w:r w:rsidRPr="00143EBB">
        <w:rPr>
          <w:b/>
          <w:bCs/>
        </w:rPr>
      </w:r>
      <w:r w:rsidRPr="00143EBB">
        <w:rPr>
          <w:b/>
          <w:bCs/>
        </w:rPr>
        <w:fldChar w:fldCharType="separate"/>
      </w:r>
      <w:r w:rsidR="002409C3" w:rsidRPr="002409C3">
        <w:rPr>
          <w:b/>
          <w:bCs/>
        </w:rPr>
        <w:t xml:space="preserve">Figure </w:t>
      </w:r>
      <w:r w:rsidR="002409C3" w:rsidRPr="002409C3">
        <w:rPr>
          <w:b/>
          <w:bCs/>
          <w:noProof/>
        </w:rPr>
        <w:t>1</w:t>
      </w:r>
      <w:r w:rsidRPr="00143EBB">
        <w:rPr>
          <w:b/>
          <w:bCs/>
        </w:rPr>
        <w:fldChar w:fldCharType="end"/>
      </w:r>
      <w:r w:rsidRPr="00143EBB">
        <w:rPr>
          <w:b/>
          <w:bCs/>
        </w:rPr>
        <w:t xml:space="preserve">) translate </w:t>
      </w:r>
      <w:r>
        <w:rPr>
          <w:b/>
          <w:bCs/>
        </w:rPr>
        <w:t>directly</w:t>
      </w:r>
      <w:r w:rsidRPr="00143EBB">
        <w:rPr>
          <w:b/>
          <w:bCs/>
        </w:rPr>
        <w:t xml:space="preserve"> into NR network performance improvements</w:t>
      </w:r>
      <w:r>
        <w:rPr>
          <w:b/>
          <w:bCs/>
        </w:rPr>
        <w:t xml:space="preserve"> (</w:t>
      </w:r>
      <w:r w:rsidRPr="004E4792">
        <w:rPr>
          <w:b/>
          <w:bCs/>
        </w:rPr>
        <w:t>see</w:t>
      </w:r>
      <w:r w:rsidRPr="00A00203">
        <w:rPr>
          <w:b/>
          <w:bCs/>
        </w:rPr>
        <w:t xml:space="preserve"> </w:t>
      </w:r>
      <w:r w:rsidRPr="00A00203">
        <w:rPr>
          <w:b/>
          <w:bCs/>
        </w:rPr>
        <w:fldChar w:fldCharType="begin"/>
      </w:r>
      <w:r w:rsidRPr="00A00203">
        <w:rPr>
          <w:b/>
          <w:bCs/>
        </w:rPr>
        <w:instrText xml:space="preserve"> REF _Ref37312544 \h  \* MERGEFORMAT </w:instrText>
      </w:r>
      <w:r w:rsidRPr="00A00203">
        <w:rPr>
          <w:b/>
          <w:bCs/>
        </w:rPr>
      </w:r>
      <w:r w:rsidRPr="00A00203">
        <w:rPr>
          <w:b/>
          <w:bCs/>
        </w:rPr>
        <w:fldChar w:fldCharType="separate"/>
      </w:r>
      <w:r w:rsidR="002409C3" w:rsidRPr="002409C3">
        <w:rPr>
          <w:b/>
          <w:bCs/>
        </w:rPr>
        <w:t xml:space="preserve">Figure </w:t>
      </w:r>
      <w:r w:rsidR="002409C3" w:rsidRPr="002409C3">
        <w:rPr>
          <w:b/>
          <w:bCs/>
          <w:noProof/>
        </w:rPr>
        <w:t>2</w:t>
      </w:r>
      <w:r w:rsidRPr="00A00203">
        <w:rPr>
          <w:b/>
          <w:bCs/>
        </w:rPr>
        <w:fldChar w:fldCharType="end"/>
      </w:r>
      <w:r w:rsidRPr="004E4792">
        <w:rPr>
          <w:b/>
          <w:bCs/>
        </w:rPr>
        <w:t>).</w:t>
      </w:r>
    </w:p>
    <w:p w14:paraId="1AA7B484" w14:textId="49F67D8F" w:rsidR="001C07CC" w:rsidRDefault="001C07CC" w:rsidP="003C2956">
      <w:pPr>
        <w:spacing w:before="120"/>
        <w:rPr>
          <w:b/>
          <w:bCs/>
        </w:rPr>
      </w:pPr>
      <w:r>
        <w:rPr>
          <w:b/>
          <w:bCs/>
        </w:rPr>
        <w:t>Observation 3</w:t>
      </w:r>
      <w:r w:rsidRPr="00A71342">
        <w:rPr>
          <w:b/>
          <w:bCs/>
        </w:rPr>
        <w:t xml:space="preserve">: </w:t>
      </w:r>
      <w:r>
        <w:rPr>
          <w:b/>
          <w:bCs/>
        </w:rPr>
        <w:t>Any potential new power class for high performance handheld UEs</w:t>
      </w:r>
      <w:r w:rsidRPr="00F85C96">
        <w:rPr>
          <w:b/>
          <w:bCs/>
        </w:rPr>
        <w:t xml:space="preserve"> should have significantly more </w:t>
      </w:r>
      <w:r>
        <w:rPr>
          <w:b/>
          <w:bCs/>
        </w:rPr>
        <w:t>enhanced</w:t>
      </w:r>
      <w:r w:rsidRPr="00F85C96">
        <w:rPr>
          <w:b/>
          <w:bCs/>
        </w:rPr>
        <w:t xml:space="preserve"> spherical coverage than those of current PC3 </w:t>
      </w:r>
      <w:r>
        <w:rPr>
          <w:b/>
          <w:bCs/>
        </w:rPr>
        <w:t xml:space="preserve">to provide observable gain to the network, </w:t>
      </w:r>
      <w:r w:rsidRPr="00F85C96">
        <w:rPr>
          <w:b/>
          <w:bCs/>
        </w:rPr>
        <w:t>but still based on a handheld UE form</w:t>
      </w:r>
      <w:r>
        <w:rPr>
          <w:b/>
          <w:bCs/>
        </w:rPr>
        <w:t xml:space="preserve"> </w:t>
      </w:r>
      <w:r w:rsidRPr="00F85C96">
        <w:rPr>
          <w:b/>
          <w:bCs/>
        </w:rPr>
        <w:t>factor.</w:t>
      </w:r>
    </w:p>
    <w:p w14:paraId="40346725" w14:textId="77777777" w:rsidR="003C2956" w:rsidRDefault="003C2956" w:rsidP="00432D37">
      <w:pPr>
        <w:rPr>
          <w:b/>
          <w:bCs/>
        </w:rPr>
      </w:pPr>
    </w:p>
    <w:p w14:paraId="3565C4E4" w14:textId="77777777" w:rsidR="00856BCE" w:rsidRDefault="00856BCE" w:rsidP="00432D37"/>
    <w:p w14:paraId="1C3F3F7D" w14:textId="77777777" w:rsidR="003C2956" w:rsidRPr="003C2956" w:rsidRDefault="003C2956" w:rsidP="00432D37">
      <w:r w:rsidRPr="003C2956">
        <w:t xml:space="preserve">The following </w:t>
      </w:r>
      <w:r>
        <w:t>proposals</w:t>
      </w:r>
      <w:r w:rsidRPr="003C2956">
        <w:t xml:space="preserve"> have also been made:</w:t>
      </w:r>
    </w:p>
    <w:p w14:paraId="19C6B9D0" w14:textId="4D4CA3A8" w:rsidR="00233A7C" w:rsidRDefault="001C07CC" w:rsidP="00A42703">
      <w:pPr>
        <w:pStyle w:val="BodyText"/>
        <w:spacing w:before="120" w:after="0"/>
        <w:jc w:val="both"/>
        <w:rPr>
          <w:rFonts w:ascii="Arial" w:hAnsi="Arial"/>
          <w:b/>
          <w:sz w:val="24"/>
          <w:lang w:val="en-US"/>
        </w:rPr>
      </w:pPr>
      <w:r>
        <w:rPr>
          <w:b/>
          <w:bCs/>
        </w:rPr>
        <w:t xml:space="preserve">Proposal 1: </w:t>
      </w:r>
      <w:r w:rsidRPr="00F85C96">
        <w:rPr>
          <w:b/>
          <w:bCs/>
        </w:rPr>
        <w:t xml:space="preserve"> </w:t>
      </w:r>
      <w:r>
        <w:rPr>
          <w:b/>
          <w:bCs/>
        </w:rPr>
        <w:t>S</w:t>
      </w:r>
      <w:r w:rsidRPr="00F85C96">
        <w:rPr>
          <w:b/>
          <w:bCs/>
        </w:rPr>
        <w:t xml:space="preserve">upporting the new power class can be designed be an </w:t>
      </w:r>
      <w:r w:rsidRPr="008413C9">
        <w:rPr>
          <w:b/>
          <w:bCs/>
          <w:i/>
          <w:iCs/>
        </w:rPr>
        <w:t>optional</w:t>
      </w:r>
      <w:r w:rsidRPr="00F85C96">
        <w:rPr>
          <w:b/>
          <w:bCs/>
        </w:rPr>
        <w:t xml:space="preserve"> and </w:t>
      </w:r>
      <w:r w:rsidRPr="008413C9">
        <w:rPr>
          <w:b/>
          <w:bCs/>
          <w:i/>
          <w:iCs/>
        </w:rPr>
        <w:t>dynamic</w:t>
      </w:r>
      <w:r w:rsidRPr="00F85C96">
        <w:rPr>
          <w:b/>
          <w:bCs/>
        </w:rPr>
        <w:t xml:space="preserve"> </w:t>
      </w:r>
      <w:r>
        <w:rPr>
          <w:b/>
          <w:bCs/>
        </w:rPr>
        <w:t>feature</w:t>
      </w:r>
      <w:r w:rsidRPr="00F85C96">
        <w:rPr>
          <w:b/>
          <w:bCs/>
        </w:rPr>
        <w:t xml:space="preserve"> of handheld UEs.  </w:t>
      </w:r>
    </w:p>
    <w:p w14:paraId="09E785CB" w14:textId="77777777" w:rsidR="00A42703" w:rsidRDefault="00A42703" w:rsidP="00A42703">
      <w:pPr>
        <w:pStyle w:val="Heading1"/>
        <w:numPr>
          <w:ilvl w:val="0"/>
          <w:numId w:val="0"/>
        </w:numPr>
        <w:ind w:left="432"/>
        <w:jc w:val="both"/>
        <w:rPr>
          <w:lang w:val="en-US"/>
        </w:rPr>
      </w:pPr>
    </w:p>
    <w:p w14:paraId="77D31C5A" w14:textId="06A88449" w:rsidR="00AA2C32" w:rsidRDefault="00AA2C32" w:rsidP="000230B3">
      <w:pPr>
        <w:pStyle w:val="Heading1"/>
        <w:jc w:val="both"/>
        <w:rPr>
          <w:lang w:val="en-US"/>
        </w:rPr>
      </w:pPr>
      <w:r>
        <w:rPr>
          <w:lang w:val="en-US"/>
        </w:rPr>
        <w:t>References</w:t>
      </w:r>
    </w:p>
    <w:p w14:paraId="78F3A6F2" w14:textId="77777777" w:rsidR="000230B3" w:rsidRPr="00963A13" w:rsidRDefault="00963A13" w:rsidP="006671F4">
      <w:pPr>
        <w:pStyle w:val="BodyText"/>
        <w:numPr>
          <w:ilvl w:val="0"/>
          <w:numId w:val="7"/>
        </w:numPr>
        <w:jc w:val="both"/>
        <w:rPr>
          <w:lang w:val="en-US"/>
        </w:rPr>
      </w:pPr>
      <w:bookmarkStart w:id="6" w:name="_Ref32395085"/>
      <w:bookmarkStart w:id="7" w:name="_Ref32498731"/>
      <w:r w:rsidRPr="00963A13">
        <w:rPr>
          <w:lang w:val="en-US"/>
        </w:rPr>
        <w:t>R4-1916</w:t>
      </w:r>
      <w:r w:rsidR="0081108F">
        <w:rPr>
          <w:lang w:val="en-US"/>
        </w:rPr>
        <w:t>184</w:t>
      </w:r>
      <w:r w:rsidR="000230B3" w:rsidRPr="00963A13">
        <w:rPr>
          <w:lang w:val="en-US"/>
        </w:rPr>
        <w:t>, “</w:t>
      </w:r>
      <w:r w:rsidRPr="00963A13">
        <w:rPr>
          <w:lang w:val="en-US"/>
        </w:rPr>
        <w:t xml:space="preserve">WF </w:t>
      </w:r>
      <w:r w:rsidR="0081108F">
        <w:rPr>
          <w:lang w:val="en-US"/>
        </w:rPr>
        <w:t>for spherical coverage enhancement for FR2</w:t>
      </w:r>
      <w:r w:rsidR="00E91E98">
        <w:rPr>
          <w:lang w:val="en-US"/>
        </w:rPr>
        <w:t>,</w:t>
      </w:r>
      <w:r w:rsidR="000230B3" w:rsidRPr="00963A13">
        <w:rPr>
          <w:lang w:val="en-US"/>
        </w:rPr>
        <w:t xml:space="preserve">” </w:t>
      </w:r>
      <w:bookmarkEnd w:id="6"/>
      <w:r w:rsidR="0081108F">
        <w:rPr>
          <w:lang w:val="en-US"/>
        </w:rPr>
        <w:t>NTT DOCOMO, Verizon, KDDI, AT&amp;T, SoftBank Corp., T-Mobile USA Inc., CHTTL, Vodafone, Nokia</w:t>
      </w:r>
      <w:r w:rsidR="00E91E98">
        <w:rPr>
          <w:lang w:val="en-US"/>
        </w:rPr>
        <w:t>, RAN4 #93</w:t>
      </w:r>
      <w:r w:rsidR="0081108F">
        <w:rPr>
          <w:lang w:val="en-US"/>
        </w:rPr>
        <w:t>.</w:t>
      </w:r>
      <w:bookmarkEnd w:id="7"/>
    </w:p>
    <w:p w14:paraId="63EF7555" w14:textId="77777777" w:rsidR="00F724F4" w:rsidRDefault="00F724F4" w:rsidP="006671F4">
      <w:pPr>
        <w:pStyle w:val="BodyText"/>
        <w:numPr>
          <w:ilvl w:val="0"/>
          <w:numId w:val="7"/>
        </w:numPr>
        <w:jc w:val="both"/>
        <w:rPr>
          <w:lang w:val="en-US"/>
        </w:rPr>
      </w:pPr>
      <w:bookmarkStart w:id="8" w:name="_Ref32564290"/>
      <w:r w:rsidRPr="00F724F4">
        <w:rPr>
          <w:lang w:val="en-US"/>
        </w:rPr>
        <w:t>R4-1809601</w:t>
      </w:r>
      <w:r>
        <w:rPr>
          <w:lang w:val="en-US"/>
        </w:rPr>
        <w:t>, “</w:t>
      </w:r>
      <w:r w:rsidRPr="00F724F4">
        <w:rPr>
          <w:lang w:val="en-US"/>
        </w:rPr>
        <w:t>RAN4#87 Meeting Report</w:t>
      </w:r>
      <w:r>
        <w:rPr>
          <w:lang w:val="en-US"/>
        </w:rPr>
        <w:t xml:space="preserve">, chapter 7.5.8.2,” </w:t>
      </w:r>
      <w:r w:rsidRPr="00F724F4">
        <w:rPr>
          <w:lang w:val="en-US"/>
        </w:rPr>
        <w:t>ETSI MCC</w:t>
      </w:r>
      <w:bookmarkEnd w:id="8"/>
    </w:p>
    <w:p w14:paraId="74752367" w14:textId="77777777" w:rsidR="00B44F81" w:rsidRDefault="00B44F81" w:rsidP="006671F4">
      <w:pPr>
        <w:pStyle w:val="BodyText"/>
        <w:numPr>
          <w:ilvl w:val="0"/>
          <w:numId w:val="7"/>
        </w:numPr>
        <w:jc w:val="both"/>
        <w:rPr>
          <w:lang w:val="en-US"/>
        </w:rPr>
      </w:pPr>
      <w:bookmarkStart w:id="9" w:name="_Ref32489774"/>
      <w:r>
        <w:rPr>
          <w:lang w:val="en-US"/>
        </w:rPr>
        <w:t xml:space="preserve">R4-1802868, “UE spherical coverage at mm-wave 28 GHz,” </w:t>
      </w:r>
      <w:r w:rsidR="00446BFB">
        <w:rPr>
          <w:lang w:val="en-US"/>
        </w:rPr>
        <w:t>SONY</w:t>
      </w:r>
      <w:r>
        <w:rPr>
          <w:lang w:val="en-US"/>
        </w:rPr>
        <w:t>, RAN4 #86.</w:t>
      </w:r>
      <w:bookmarkEnd w:id="9"/>
    </w:p>
    <w:p w14:paraId="462D1191" w14:textId="0D72811C" w:rsidR="00366F8F" w:rsidRDefault="00366F8F" w:rsidP="006671F4">
      <w:pPr>
        <w:pStyle w:val="BodyText"/>
        <w:numPr>
          <w:ilvl w:val="0"/>
          <w:numId w:val="7"/>
        </w:numPr>
        <w:jc w:val="both"/>
        <w:rPr>
          <w:lang w:val="en-US"/>
        </w:rPr>
      </w:pPr>
      <w:bookmarkStart w:id="10" w:name="_Ref32497859"/>
      <w:r w:rsidRPr="00366F8F">
        <w:rPr>
          <w:lang w:val="en-US"/>
        </w:rPr>
        <w:t>R4-1805669, "Impact of spherical coverage requirement to NR network performance</w:t>
      </w:r>
      <w:r>
        <w:rPr>
          <w:lang w:val="en-US"/>
        </w:rPr>
        <w:t>,</w:t>
      </w:r>
      <w:r w:rsidRPr="00366F8F">
        <w:rPr>
          <w:lang w:val="en-US"/>
        </w:rPr>
        <w:t>"</w:t>
      </w:r>
      <w:r>
        <w:rPr>
          <w:lang w:val="en-US"/>
        </w:rPr>
        <w:t xml:space="preserve"> </w:t>
      </w:r>
      <w:r w:rsidR="004D597B">
        <w:rPr>
          <w:lang w:val="en-US"/>
        </w:rPr>
        <w:t>Qualcomm Inc</w:t>
      </w:r>
      <w:r>
        <w:rPr>
          <w:lang w:val="en-US"/>
        </w:rPr>
        <w:t>.</w:t>
      </w:r>
      <w:bookmarkEnd w:id="10"/>
    </w:p>
    <w:p w14:paraId="4A07C543" w14:textId="77777777" w:rsidR="00366F8F" w:rsidRDefault="00366F8F" w:rsidP="006671F4">
      <w:pPr>
        <w:pStyle w:val="BodyText"/>
        <w:numPr>
          <w:ilvl w:val="0"/>
          <w:numId w:val="7"/>
        </w:numPr>
        <w:jc w:val="both"/>
        <w:rPr>
          <w:lang w:val="en-US"/>
        </w:rPr>
      </w:pPr>
      <w:r>
        <w:rPr>
          <w:lang w:val="en-US"/>
        </w:rPr>
        <w:t xml:space="preserve"> </w:t>
      </w:r>
      <w:bookmarkStart w:id="11" w:name="_Ref32497861"/>
      <w:r w:rsidRPr="00366F8F">
        <w:rPr>
          <w:lang w:val="en-US"/>
        </w:rPr>
        <w:t>R4-1805668, "Network performance analysis for spherical coverage</w:t>
      </w:r>
      <w:r w:rsidR="004D597B">
        <w:rPr>
          <w:lang w:val="en-US"/>
        </w:rPr>
        <w:t>,</w:t>
      </w:r>
      <w:r w:rsidRPr="00366F8F">
        <w:rPr>
          <w:lang w:val="en-US"/>
        </w:rPr>
        <w:t>"</w:t>
      </w:r>
      <w:r w:rsidR="004D597B">
        <w:rPr>
          <w:lang w:val="en-US"/>
        </w:rPr>
        <w:t xml:space="preserve"> Apple Inc., Intel Corp.</w:t>
      </w:r>
      <w:bookmarkEnd w:id="11"/>
    </w:p>
    <w:p w14:paraId="27277029" w14:textId="77777777" w:rsidR="00366F8F" w:rsidRDefault="00366F8F" w:rsidP="006671F4">
      <w:pPr>
        <w:pStyle w:val="BodyText"/>
        <w:numPr>
          <w:ilvl w:val="0"/>
          <w:numId w:val="7"/>
        </w:numPr>
        <w:jc w:val="both"/>
        <w:rPr>
          <w:lang w:val="en-US"/>
        </w:rPr>
      </w:pPr>
      <w:r>
        <w:rPr>
          <w:lang w:val="en-US"/>
        </w:rPr>
        <w:t xml:space="preserve"> </w:t>
      </w:r>
      <w:bookmarkStart w:id="12" w:name="_Ref32497864"/>
      <w:r w:rsidRPr="00366F8F">
        <w:rPr>
          <w:lang w:val="en-US"/>
        </w:rPr>
        <w:t>R4-1804489, "NW performance analysis based on peak EIRP levels</w:t>
      </w:r>
      <w:r w:rsidR="004D597B">
        <w:rPr>
          <w:lang w:val="en-US"/>
        </w:rPr>
        <w:t>,</w:t>
      </w:r>
      <w:r w:rsidRPr="00366F8F">
        <w:rPr>
          <w:lang w:val="en-US"/>
        </w:rPr>
        <w:t>"</w:t>
      </w:r>
      <w:r w:rsidR="004D597B">
        <w:rPr>
          <w:lang w:val="en-US"/>
        </w:rPr>
        <w:t xml:space="preserve"> LG Electronics.</w:t>
      </w:r>
      <w:bookmarkEnd w:id="12"/>
    </w:p>
    <w:p w14:paraId="4D6F77EA" w14:textId="7E9674F7" w:rsidR="00C70D6B" w:rsidRDefault="00C70D6B" w:rsidP="006671F4">
      <w:pPr>
        <w:pStyle w:val="BodyText"/>
        <w:numPr>
          <w:ilvl w:val="0"/>
          <w:numId w:val="7"/>
        </w:numPr>
        <w:jc w:val="both"/>
        <w:rPr>
          <w:lang w:val="en-US"/>
        </w:rPr>
      </w:pPr>
      <w:bookmarkStart w:id="13" w:name="_Ref37242517"/>
      <w:r>
        <w:rPr>
          <w:lang w:val="en-US"/>
        </w:rPr>
        <w:t>R4-2002829, “WF on spherical coverage improvements,” Samsung, RAN4 #94-e.</w:t>
      </w:r>
      <w:bookmarkEnd w:id="13"/>
    </w:p>
    <w:p w14:paraId="605A8F63" w14:textId="4B7B584A" w:rsidR="00875409" w:rsidRPr="001B463A" w:rsidRDefault="00E27552" w:rsidP="006671F4">
      <w:pPr>
        <w:pStyle w:val="BodyText"/>
        <w:numPr>
          <w:ilvl w:val="0"/>
          <w:numId w:val="7"/>
        </w:numPr>
        <w:jc w:val="both"/>
        <w:rPr>
          <w:lang w:val="en-US"/>
        </w:rPr>
      </w:pPr>
      <w:bookmarkStart w:id="14" w:name="_Ref37311563"/>
      <w:r>
        <w:rPr>
          <w:lang w:val="en-US"/>
        </w:rPr>
        <w:t>R4-2001495, “Views on improvement to spherical coverage requirements for PC3,” SONY, RAN4 #94-e.</w:t>
      </w:r>
      <w:bookmarkEnd w:id="14"/>
      <w:r w:rsidR="001B463A" w:rsidRPr="00F85C96">
        <w:t xml:space="preserve"> </w:t>
      </w:r>
    </w:p>
    <w:sectPr w:rsidR="00875409" w:rsidRPr="001B46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0B97" w14:textId="77777777" w:rsidR="00FA142E" w:rsidRDefault="00FA142E">
      <w:r>
        <w:separator/>
      </w:r>
    </w:p>
  </w:endnote>
  <w:endnote w:type="continuationSeparator" w:id="0">
    <w:p w14:paraId="41EE065D" w14:textId="77777777" w:rsidR="00FA142E" w:rsidRDefault="00FA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14835" w14:textId="77777777" w:rsidR="00FA142E" w:rsidRDefault="00FA142E">
      <w:r>
        <w:separator/>
      </w:r>
    </w:p>
  </w:footnote>
  <w:footnote w:type="continuationSeparator" w:id="0">
    <w:p w14:paraId="1F587C92" w14:textId="77777777" w:rsidR="00FA142E" w:rsidRDefault="00FA1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5732AE"/>
    <w:multiLevelType w:val="hybridMultilevel"/>
    <w:tmpl w:val="82AC81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BB5C16"/>
    <w:multiLevelType w:val="hybridMultilevel"/>
    <w:tmpl w:val="16423D92"/>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5481B4D"/>
    <w:multiLevelType w:val="hybridMultilevel"/>
    <w:tmpl w:val="33349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7BE7A1D"/>
    <w:multiLevelType w:val="hybridMultilevel"/>
    <w:tmpl w:val="0A860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5"/>
  </w:num>
  <w:num w:numId="5">
    <w:abstractNumId w:val="2"/>
  </w:num>
  <w:num w:numId="6">
    <w:abstractNumId w:val="7"/>
  </w:num>
  <w:num w:numId="7">
    <w:abstractNumId w:val="4"/>
  </w:num>
  <w:num w:numId="8">
    <w:abstractNumId w:val="8"/>
  </w:num>
  <w:num w:numId="9">
    <w:abstractNumId w:val="1"/>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rwUAqekakyw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642"/>
    <w:rsid w:val="00005BDB"/>
    <w:rsid w:val="0001008F"/>
    <w:rsid w:val="000104F3"/>
    <w:rsid w:val="000105D8"/>
    <w:rsid w:val="0001067C"/>
    <w:rsid w:val="00010B48"/>
    <w:rsid w:val="00010ECF"/>
    <w:rsid w:val="0001115D"/>
    <w:rsid w:val="00011D70"/>
    <w:rsid w:val="00012053"/>
    <w:rsid w:val="00012E79"/>
    <w:rsid w:val="00013576"/>
    <w:rsid w:val="00013838"/>
    <w:rsid w:val="00014B15"/>
    <w:rsid w:val="00014CA4"/>
    <w:rsid w:val="00014ED4"/>
    <w:rsid w:val="0001501C"/>
    <w:rsid w:val="00015158"/>
    <w:rsid w:val="00015775"/>
    <w:rsid w:val="000165F6"/>
    <w:rsid w:val="00016A00"/>
    <w:rsid w:val="00016CF1"/>
    <w:rsid w:val="000172C8"/>
    <w:rsid w:val="00017365"/>
    <w:rsid w:val="00017D10"/>
    <w:rsid w:val="00017E61"/>
    <w:rsid w:val="00017FB7"/>
    <w:rsid w:val="0002050D"/>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04"/>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B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6D3"/>
    <w:rsid w:val="0005789E"/>
    <w:rsid w:val="00057B93"/>
    <w:rsid w:val="00057D86"/>
    <w:rsid w:val="0006072E"/>
    <w:rsid w:val="00060B38"/>
    <w:rsid w:val="00060B6F"/>
    <w:rsid w:val="000615C1"/>
    <w:rsid w:val="00061D8D"/>
    <w:rsid w:val="0006287A"/>
    <w:rsid w:val="00063101"/>
    <w:rsid w:val="000634C7"/>
    <w:rsid w:val="00065010"/>
    <w:rsid w:val="00065275"/>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18"/>
    <w:rsid w:val="000765D1"/>
    <w:rsid w:val="00076732"/>
    <w:rsid w:val="00076FF6"/>
    <w:rsid w:val="0007700C"/>
    <w:rsid w:val="00081325"/>
    <w:rsid w:val="000816C9"/>
    <w:rsid w:val="00081A0C"/>
    <w:rsid w:val="000822E0"/>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B"/>
    <w:rsid w:val="000A66CE"/>
    <w:rsid w:val="000A6AFA"/>
    <w:rsid w:val="000A75A9"/>
    <w:rsid w:val="000A7750"/>
    <w:rsid w:val="000A7A4D"/>
    <w:rsid w:val="000A7D0E"/>
    <w:rsid w:val="000B0358"/>
    <w:rsid w:val="000B0D9C"/>
    <w:rsid w:val="000B0F74"/>
    <w:rsid w:val="000B1B63"/>
    <w:rsid w:val="000B1D7E"/>
    <w:rsid w:val="000B2893"/>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CB"/>
    <w:rsid w:val="000E76C5"/>
    <w:rsid w:val="000E798D"/>
    <w:rsid w:val="000E7A18"/>
    <w:rsid w:val="000E7C8D"/>
    <w:rsid w:val="000F01FF"/>
    <w:rsid w:val="000F055D"/>
    <w:rsid w:val="000F0D77"/>
    <w:rsid w:val="000F17BA"/>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5C5C"/>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2E76"/>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4A"/>
    <w:rsid w:val="00143435"/>
    <w:rsid w:val="001436B1"/>
    <w:rsid w:val="00143EBB"/>
    <w:rsid w:val="00144451"/>
    <w:rsid w:val="0014479A"/>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6BBA"/>
    <w:rsid w:val="001972B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B6B"/>
    <w:rsid w:val="001B0241"/>
    <w:rsid w:val="001B04FA"/>
    <w:rsid w:val="001B09A7"/>
    <w:rsid w:val="001B0BDA"/>
    <w:rsid w:val="001B164C"/>
    <w:rsid w:val="001B216A"/>
    <w:rsid w:val="001B3696"/>
    <w:rsid w:val="001B40F0"/>
    <w:rsid w:val="001B463A"/>
    <w:rsid w:val="001B5F23"/>
    <w:rsid w:val="001B63E4"/>
    <w:rsid w:val="001B6675"/>
    <w:rsid w:val="001B6D6C"/>
    <w:rsid w:val="001B7431"/>
    <w:rsid w:val="001B768B"/>
    <w:rsid w:val="001B7838"/>
    <w:rsid w:val="001B7B67"/>
    <w:rsid w:val="001C05FF"/>
    <w:rsid w:val="001C07CC"/>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1F1C"/>
    <w:rsid w:val="00231F4D"/>
    <w:rsid w:val="00232760"/>
    <w:rsid w:val="00232FDB"/>
    <w:rsid w:val="00233A7C"/>
    <w:rsid w:val="00233ACC"/>
    <w:rsid w:val="00234F81"/>
    <w:rsid w:val="00235102"/>
    <w:rsid w:val="002351BC"/>
    <w:rsid w:val="0023698F"/>
    <w:rsid w:val="00236F1A"/>
    <w:rsid w:val="00237178"/>
    <w:rsid w:val="00237340"/>
    <w:rsid w:val="0023749A"/>
    <w:rsid w:val="00237557"/>
    <w:rsid w:val="00237817"/>
    <w:rsid w:val="002400C9"/>
    <w:rsid w:val="002409C3"/>
    <w:rsid w:val="00242397"/>
    <w:rsid w:val="002439B2"/>
    <w:rsid w:val="00243B57"/>
    <w:rsid w:val="00243CF9"/>
    <w:rsid w:val="002448E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FA2"/>
    <w:rsid w:val="00253321"/>
    <w:rsid w:val="0025467B"/>
    <w:rsid w:val="002546E3"/>
    <w:rsid w:val="00254B56"/>
    <w:rsid w:val="00254D94"/>
    <w:rsid w:val="00255BEC"/>
    <w:rsid w:val="002560DA"/>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B21"/>
    <w:rsid w:val="00264C27"/>
    <w:rsid w:val="00264D38"/>
    <w:rsid w:val="002658F8"/>
    <w:rsid w:val="00266552"/>
    <w:rsid w:val="002669BC"/>
    <w:rsid w:val="00266A59"/>
    <w:rsid w:val="00266B19"/>
    <w:rsid w:val="00266D87"/>
    <w:rsid w:val="00266DC4"/>
    <w:rsid w:val="00266DCB"/>
    <w:rsid w:val="0026703D"/>
    <w:rsid w:val="002670E8"/>
    <w:rsid w:val="002674BB"/>
    <w:rsid w:val="002700F7"/>
    <w:rsid w:val="00270236"/>
    <w:rsid w:val="00270CDC"/>
    <w:rsid w:val="00272990"/>
    <w:rsid w:val="00273724"/>
    <w:rsid w:val="00273A61"/>
    <w:rsid w:val="00273F5B"/>
    <w:rsid w:val="002741B5"/>
    <w:rsid w:val="00274AC8"/>
    <w:rsid w:val="00274BE9"/>
    <w:rsid w:val="00275AF8"/>
    <w:rsid w:val="00275B2C"/>
    <w:rsid w:val="00275B53"/>
    <w:rsid w:val="00275D65"/>
    <w:rsid w:val="00275E95"/>
    <w:rsid w:val="0027642B"/>
    <w:rsid w:val="00276C70"/>
    <w:rsid w:val="00276E7E"/>
    <w:rsid w:val="00277A2C"/>
    <w:rsid w:val="00280016"/>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B0A2B"/>
    <w:rsid w:val="002B0EC6"/>
    <w:rsid w:val="002B13D3"/>
    <w:rsid w:val="002B13E5"/>
    <w:rsid w:val="002B1465"/>
    <w:rsid w:val="002B1710"/>
    <w:rsid w:val="002B1973"/>
    <w:rsid w:val="002B1C5A"/>
    <w:rsid w:val="002B21B2"/>
    <w:rsid w:val="002B281A"/>
    <w:rsid w:val="002B2B8E"/>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61D0"/>
    <w:rsid w:val="002D628E"/>
    <w:rsid w:val="002D63D9"/>
    <w:rsid w:val="002D641C"/>
    <w:rsid w:val="002D6963"/>
    <w:rsid w:val="002D6A5B"/>
    <w:rsid w:val="002D6C88"/>
    <w:rsid w:val="002D78EC"/>
    <w:rsid w:val="002D7C89"/>
    <w:rsid w:val="002D7D7E"/>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5590"/>
    <w:rsid w:val="002E5F46"/>
    <w:rsid w:val="002E6DF0"/>
    <w:rsid w:val="002E6F13"/>
    <w:rsid w:val="002E7719"/>
    <w:rsid w:val="002E7931"/>
    <w:rsid w:val="002E7A2F"/>
    <w:rsid w:val="002E7C16"/>
    <w:rsid w:val="002E7EEF"/>
    <w:rsid w:val="002F0262"/>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D82"/>
    <w:rsid w:val="00304613"/>
    <w:rsid w:val="00304A6A"/>
    <w:rsid w:val="0030509C"/>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387"/>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F95"/>
    <w:rsid w:val="00364318"/>
    <w:rsid w:val="003644F0"/>
    <w:rsid w:val="003645EB"/>
    <w:rsid w:val="0036495E"/>
    <w:rsid w:val="003650DA"/>
    <w:rsid w:val="0036557D"/>
    <w:rsid w:val="00365890"/>
    <w:rsid w:val="00365E72"/>
    <w:rsid w:val="00366143"/>
    <w:rsid w:val="00366695"/>
    <w:rsid w:val="00366834"/>
    <w:rsid w:val="00366F8F"/>
    <w:rsid w:val="00367554"/>
    <w:rsid w:val="00367B71"/>
    <w:rsid w:val="00367F0D"/>
    <w:rsid w:val="003705BD"/>
    <w:rsid w:val="00370668"/>
    <w:rsid w:val="003707A1"/>
    <w:rsid w:val="00370B69"/>
    <w:rsid w:val="00370D16"/>
    <w:rsid w:val="00371819"/>
    <w:rsid w:val="00371F5B"/>
    <w:rsid w:val="0037219E"/>
    <w:rsid w:val="003722A1"/>
    <w:rsid w:val="00373033"/>
    <w:rsid w:val="00374A65"/>
    <w:rsid w:val="00374C16"/>
    <w:rsid w:val="0037526E"/>
    <w:rsid w:val="00375955"/>
    <w:rsid w:val="00376193"/>
    <w:rsid w:val="00376CEA"/>
    <w:rsid w:val="00376D0C"/>
    <w:rsid w:val="00376E5D"/>
    <w:rsid w:val="00377472"/>
    <w:rsid w:val="00377730"/>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A4E"/>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880"/>
    <w:rsid w:val="003B68C6"/>
    <w:rsid w:val="003B6B37"/>
    <w:rsid w:val="003B6CD7"/>
    <w:rsid w:val="003B7016"/>
    <w:rsid w:val="003B743B"/>
    <w:rsid w:val="003B756D"/>
    <w:rsid w:val="003C04C0"/>
    <w:rsid w:val="003C0FC4"/>
    <w:rsid w:val="003C10EA"/>
    <w:rsid w:val="003C1266"/>
    <w:rsid w:val="003C14AD"/>
    <w:rsid w:val="003C1708"/>
    <w:rsid w:val="003C176E"/>
    <w:rsid w:val="003C1B07"/>
    <w:rsid w:val="003C23A8"/>
    <w:rsid w:val="003C2956"/>
    <w:rsid w:val="003C2E8F"/>
    <w:rsid w:val="003C33E6"/>
    <w:rsid w:val="003C3CDD"/>
    <w:rsid w:val="003C3F0D"/>
    <w:rsid w:val="003C40A6"/>
    <w:rsid w:val="003C41EE"/>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6A7A"/>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6CE"/>
    <w:rsid w:val="003E4054"/>
    <w:rsid w:val="003E52EE"/>
    <w:rsid w:val="003E59C5"/>
    <w:rsid w:val="003E5B84"/>
    <w:rsid w:val="003E605D"/>
    <w:rsid w:val="003E6917"/>
    <w:rsid w:val="003E6E4F"/>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75B"/>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8B1"/>
    <w:rsid w:val="00414DE4"/>
    <w:rsid w:val="00415194"/>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F02"/>
    <w:rsid w:val="00442A49"/>
    <w:rsid w:val="00442D78"/>
    <w:rsid w:val="004433A7"/>
    <w:rsid w:val="00443410"/>
    <w:rsid w:val="004446DD"/>
    <w:rsid w:val="00444A6D"/>
    <w:rsid w:val="00444E07"/>
    <w:rsid w:val="00445384"/>
    <w:rsid w:val="0044576D"/>
    <w:rsid w:val="004458D3"/>
    <w:rsid w:val="004459C1"/>
    <w:rsid w:val="00445B9A"/>
    <w:rsid w:val="00445D44"/>
    <w:rsid w:val="00446855"/>
    <w:rsid w:val="00446BFB"/>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9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3464"/>
    <w:rsid w:val="00493758"/>
    <w:rsid w:val="00493B1E"/>
    <w:rsid w:val="00493D57"/>
    <w:rsid w:val="00494020"/>
    <w:rsid w:val="004940BF"/>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03B"/>
    <w:rsid w:val="004C72F7"/>
    <w:rsid w:val="004C7C88"/>
    <w:rsid w:val="004D0516"/>
    <w:rsid w:val="004D05F0"/>
    <w:rsid w:val="004D0A43"/>
    <w:rsid w:val="004D139A"/>
    <w:rsid w:val="004D2103"/>
    <w:rsid w:val="004D211C"/>
    <w:rsid w:val="004D225A"/>
    <w:rsid w:val="004D244F"/>
    <w:rsid w:val="004D2850"/>
    <w:rsid w:val="004D2914"/>
    <w:rsid w:val="004D2FA7"/>
    <w:rsid w:val="004D3002"/>
    <w:rsid w:val="004D4ECD"/>
    <w:rsid w:val="004D4F5C"/>
    <w:rsid w:val="004D549F"/>
    <w:rsid w:val="004D54CC"/>
    <w:rsid w:val="004D597B"/>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74D"/>
    <w:rsid w:val="004E2A29"/>
    <w:rsid w:val="004E4792"/>
    <w:rsid w:val="004E49D4"/>
    <w:rsid w:val="004E5B28"/>
    <w:rsid w:val="004E605E"/>
    <w:rsid w:val="004E6EEC"/>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AB9"/>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28EE"/>
    <w:rsid w:val="005233C0"/>
    <w:rsid w:val="00523741"/>
    <w:rsid w:val="0052382F"/>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723"/>
    <w:rsid w:val="0054691F"/>
    <w:rsid w:val="005474F0"/>
    <w:rsid w:val="00550259"/>
    <w:rsid w:val="00550741"/>
    <w:rsid w:val="00550E9E"/>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63E"/>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134B"/>
    <w:rsid w:val="005917F2"/>
    <w:rsid w:val="00591A41"/>
    <w:rsid w:val="00591B39"/>
    <w:rsid w:val="005921DB"/>
    <w:rsid w:val="00592BE6"/>
    <w:rsid w:val="00593110"/>
    <w:rsid w:val="005938CE"/>
    <w:rsid w:val="00593A85"/>
    <w:rsid w:val="00593E8B"/>
    <w:rsid w:val="00594375"/>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146"/>
    <w:rsid w:val="005A2664"/>
    <w:rsid w:val="005A35B2"/>
    <w:rsid w:val="005A41F2"/>
    <w:rsid w:val="005A43E5"/>
    <w:rsid w:val="005A448D"/>
    <w:rsid w:val="005A476B"/>
    <w:rsid w:val="005A4805"/>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9D2"/>
    <w:rsid w:val="005C7B58"/>
    <w:rsid w:val="005C7EDE"/>
    <w:rsid w:val="005D0B1E"/>
    <w:rsid w:val="005D0C9D"/>
    <w:rsid w:val="005D0D24"/>
    <w:rsid w:val="005D0E33"/>
    <w:rsid w:val="005D1317"/>
    <w:rsid w:val="005D13C0"/>
    <w:rsid w:val="005D1D01"/>
    <w:rsid w:val="005D1EE8"/>
    <w:rsid w:val="005D249B"/>
    <w:rsid w:val="005D2632"/>
    <w:rsid w:val="005D2D73"/>
    <w:rsid w:val="005D37DC"/>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A16"/>
    <w:rsid w:val="00600CEE"/>
    <w:rsid w:val="00601164"/>
    <w:rsid w:val="00601E4D"/>
    <w:rsid w:val="0060240E"/>
    <w:rsid w:val="006027D7"/>
    <w:rsid w:val="00602F9E"/>
    <w:rsid w:val="00603305"/>
    <w:rsid w:val="00603BE0"/>
    <w:rsid w:val="006042EB"/>
    <w:rsid w:val="00604B6B"/>
    <w:rsid w:val="00605AE9"/>
    <w:rsid w:val="00606007"/>
    <w:rsid w:val="00606712"/>
    <w:rsid w:val="00606B28"/>
    <w:rsid w:val="00606D2A"/>
    <w:rsid w:val="00607432"/>
    <w:rsid w:val="00607E2F"/>
    <w:rsid w:val="00610888"/>
    <w:rsid w:val="00610B51"/>
    <w:rsid w:val="00610DA2"/>
    <w:rsid w:val="00610DF5"/>
    <w:rsid w:val="0061100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8DC"/>
    <w:rsid w:val="00626C00"/>
    <w:rsid w:val="00626D14"/>
    <w:rsid w:val="00627128"/>
    <w:rsid w:val="00627220"/>
    <w:rsid w:val="00627EA3"/>
    <w:rsid w:val="00630884"/>
    <w:rsid w:val="006313DE"/>
    <w:rsid w:val="00631632"/>
    <w:rsid w:val="00632951"/>
    <w:rsid w:val="00632994"/>
    <w:rsid w:val="00632BB2"/>
    <w:rsid w:val="00632E8F"/>
    <w:rsid w:val="00632FB0"/>
    <w:rsid w:val="00633805"/>
    <w:rsid w:val="006338F9"/>
    <w:rsid w:val="00633AF0"/>
    <w:rsid w:val="0063435E"/>
    <w:rsid w:val="0063466A"/>
    <w:rsid w:val="00635399"/>
    <w:rsid w:val="00635ADE"/>
    <w:rsid w:val="006360F8"/>
    <w:rsid w:val="0063620A"/>
    <w:rsid w:val="0063651B"/>
    <w:rsid w:val="00636977"/>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1EC"/>
    <w:rsid w:val="00643462"/>
    <w:rsid w:val="0064358C"/>
    <w:rsid w:val="00643830"/>
    <w:rsid w:val="006439CA"/>
    <w:rsid w:val="00644033"/>
    <w:rsid w:val="006441EE"/>
    <w:rsid w:val="00644404"/>
    <w:rsid w:val="00644629"/>
    <w:rsid w:val="00644AAE"/>
    <w:rsid w:val="00644D3A"/>
    <w:rsid w:val="00645187"/>
    <w:rsid w:val="00645334"/>
    <w:rsid w:val="006454E0"/>
    <w:rsid w:val="00645C4C"/>
    <w:rsid w:val="00645C9F"/>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186"/>
    <w:rsid w:val="00666451"/>
    <w:rsid w:val="006671F4"/>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6EBD"/>
    <w:rsid w:val="0067701A"/>
    <w:rsid w:val="0067756D"/>
    <w:rsid w:val="00677E7B"/>
    <w:rsid w:val="00680220"/>
    <w:rsid w:val="0068089F"/>
    <w:rsid w:val="00680955"/>
    <w:rsid w:val="00680AED"/>
    <w:rsid w:val="00681407"/>
    <w:rsid w:val="006814C5"/>
    <w:rsid w:val="00681514"/>
    <w:rsid w:val="006815C1"/>
    <w:rsid w:val="00681CD9"/>
    <w:rsid w:val="00681DF9"/>
    <w:rsid w:val="00682440"/>
    <w:rsid w:val="006828D0"/>
    <w:rsid w:val="00682B3C"/>
    <w:rsid w:val="0068323D"/>
    <w:rsid w:val="00683824"/>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491"/>
    <w:rsid w:val="006C77B4"/>
    <w:rsid w:val="006C7D8B"/>
    <w:rsid w:val="006C7E4B"/>
    <w:rsid w:val="006D0656"/>
    <w:rsid w:val="006D0D19"/>
    <w:rsid w:val="006D1458"/>
    <w:rsid w:val="006D1494"/>
    <w:rsid w:val="006D1643"/>
    <w:rsid w:val="006D1837"/>
    <w:rsid w:val="006D1A38"/>
    <w:rsid w:val="006D1BE6"/>
    <w:rsid w:val="006D2686"/>
    <w:rsid w:val="006D2AEB"/>
    <w:rsid w:val="006D2C47"/>
    <w:rsid w:val="006D33A5"/>
    <w:rsid w:val="006D39B1"/>
    <w:rsid w:val="006D39B5"/>
    <w:rsid w:val="006D4A80"/>
    <w:rsid w:val="006D4B11"/>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32E"/>
    <w:rsid w:val="006F3640"/>
    <w:rsid w:val="006F3978"/>
    <w:rsid w:val="006F3C5F"/>
    <w:rsid w:val="006F4022"/>
    <w:rsid w:val="006F4627"/>
    <w:rsid w:val="006F4DA4"/>
    <w:rsid w:val="006F4DFC"/>
    <w:rsid w:val="006F55AD"/>
    <w:rsid w:val="006F5979"/>
    <w:rsid w:val="006F7961"/>
    <w:rsid w:val="006F7BE8"/>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967"/>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2266"/>
    <w:rsid w:val="00722721"/>
    <w:rsid w:val="007227C8"/>
    <w:rsid w:val="00722BAE"/>
    <w:rsid w:val="00723E41"/>
    <w:rsid w:val="007244AC"/>
    <w:rsid w:val="0072559B"/>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1C"/>
    <w:rsid w:val="00751C7C"/>
    <w:rsid w:val="00752448"/>
    <w:rsid w:val="0075298C"/>
    <w:rsid w:val="00752B23"/>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3EE2"/>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E5"/>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EDF"/>
    <w:rsid w:val="007970BF"/>
    <w:rsid w:val="007971DC"/>
    <w:rsid w:val="007A062A"/>
    <w:rsid w:val="007A0AA9"/>
    <w:rsid w:val="007A103A"/>
    <w:rsid w:val="007A1591"/>
    <w:rsid w:val="007A1994"/>
    <w:rsid w:val="007A1C44"/>
    <w:rsid w:val="007A1E11"/>
    <w:rsid w:val="007A27DA"/>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450"/>
    <w:rsid w:val="007B4DCC"/>
    <w:rsid w:val="007B5672"/>
    <w:rsid w:val="007B5ED3"/>
    <w:rsid w:val="007B6005"/>
    <w:rsid w:val="007B65B0"/>
    <w:rsid w:val="007B6889"/>
    <w:rsid w:val="007B70C3"/>
    <w:rsid w:val="007B7974"/>
    <w:rsid w:val="007C02CD"/>
    <w:rsid w:val="007C1693"/>
    <w:rsid w:val="007C18BF"/>
    <w:rsid w:val="007C1AD6"/>
    <w:rsid w:val="007C1D5F"/>
    <w:rsid w:val="007C1DB6"/>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5C9"/>
    <w:rsid w:val="007D6B2C"/>
    <w:rsid w:val="007D736E"/>
    <w:rsid w:val="007D7655"/>
    <w:rsid w:val="007D7B18"/>
    <w:rsid w:val="007E056F"/>
    <w:rsid w:val="007E08D7"/>
    <w:rsid w:val="007E0E9A"/>
    <w:rsid w:val="007E0EC9"/>
    <w:rsid w:val="007E155F"/>
    <w:rsid w:val="007E167F"/>
    <w:rsid w:val="007E2680"/>
    <w:rsid w:val="007E27D1"/>
    <w:rsid w:val="007E2B0A"/>
    <w:rsid w:val="007E3779"/>
    <w:rsid w:val="007E3BC5"/>
    <w:rsid w:val="007E4042"/>
    <w:rsid w:val="007E416F"/>
    <w:rsid w:val="007E4DAD"/>
    <w:rsid w:val="007E4F34"/>
    <w:rsid w:val="007E4FD7"/>
    <w:rsid w:val="007E545C"/>
    <w:rsid w:val="007E5B6B"/>
    <w:rsid w:val="007E6136"/>
    <w:rsid w:val="007E69F1"/>
    <w:rsid w:val="007E6C1C"/>
    <w:rsid w:val="007E78BA"/>
    <w:rsid w:val="007E7AFE"/>
    <w:rsid w:val="007E7D0E"/>
    <w:rsid w:val="007F0292"/>
    <w:rsid w:val="007F0464"/>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800349"/>
    <w:rsid w:val="00800CC5"/>
    <w:rsid w:val="00800F26"/>
    <w:rsid w:val="00801A8A"/>
    <w:rsid w:val="00802310"/>
    <w:rsid w:val="008024E7"/>
    <w:rsid w:val="008028DA"/>
    <w:rsid w:val="00804B5C"/>
    <w:rsid w:val="00804E50"/>
    <w:rsid w:val="00805444"/>
    <w:rsid w:val="008055A4"/>
    <w:rsid w:val="008057E3"/>
    <w:rsid w:val="00805AEA"/>
    <w:rsid w:val="008072BB"/>
    <w:rsid w:val="00807785"/>
    <w:rsid w:val="00810166"/>
    <w:rsid w:val="0081049F"/>
    <w:rsid w:val="00810EB6"/>
    <w:rsid w:val="0081108F"/>
    <w:rsid w:val="008117D7"/>
    <w:rsid w:val="00812171"/>
    <w:rsid w:val="0081218C"/>
    <w:rsid w:val="0081247C"/>
    <w:rsid w:val="0081361E"/>
    <w:rsid w:val="0081408D"/>
    <w:rsid w:val="0081430E"/>
    <w:rsid w:val="00814ABB"/>
    <w:rsid w:val="00815795"/>
    <w:rsid w:val="00817397"/>
    <w:rsid w:val="00817548"/>
    <w:rsid w:val="008208B0"/>
    <w:rsid w:val="00820DAA"/>
    <w:rsid w:val="00821418"/>
    <w:rsid w:val="008216C5"/>
    <w:rsid w:val="00821BC9"/>
    <w:rsid w:val="00822053"/>
    <w:rsid w:val="0082220A"/>
    <w:rsid w:val="00822293"/>
    <w:rsid w:val="00822E4E"/>
    <w:rsid w:val="00823095"/>
    <w:rsid w:val="008231CD"/>
    <w:rsid w:val="00823AFA"/>
    <w:rsid w:val="008240CA"/>
    <w:rsid w:val="0082416E"/>
    <w:rsid w:val="008241AB"/>
    <w:rsid w:val="00824425"/>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3C9"/>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51F"/>
    <w:rsid w:val="0085166D"/>
    <w:rsid w:val="008528C4"/>
    <w:rsid w:val="0085338B"/>
    <w:rsid w:val="00853CC2"/>
    <w:rsid w:val="008543D6"/>
    <w:rsid w:val="008546D0"/>
    <w:rsid w:val="008547B9"/>
    <w:rsid w:val="00854D1F"/>
    <w:rsid w:val="0085511F"/>
    <w:rsid w:val="008560E4"/>
    <w:rsid w:val="00856A13"/>
    <w:rsid w:val="00856BCE"/>
    <w:rsid w:val="00856F40"/>
    <w:rsid w:val="0085709B"/>
    <w:rsid w:val="008570CA"/>
    <w:rsid w:val="008571EB"/>
    <w:rsid w:val="0085748C"/>
    <w:rsid w:val="008576E1"/>
    <w:rsid w:val="008603D1"/>
    <w:rsid w:val="0086052C"/>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6466"/>
    <w:rsid w:val="008770DD"/>
    <w:rsid w:val="00877A09"/>
    <w:rsid w:val="00877F15"/>
    <w:rsid w:val="00881004"/>
    <w:rsid w:val="00881ADE"/>
    <w:rsid w:val="00881E40"/>
    <w:rsid w:val="00882B09"/>
    <w:rsid w:val="00882BE4"/>
    <w:rsid w:val="0088319E"/>
    <w:rsid w:val="00883815"/>
    <w:rsid w:val="008839E7"/>
    <w:rsid w:val="00884A3E"/>
    <w:rsid w:val="00884BD5"/>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BF7"/>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5D2"/>
    <w:rsid w:val="008B39ED"/>
    <w:rsid w:val="008B3A67"/>
    <w:rsid w:val="008B3D85"/>
    <w:rsid w:val="008B4686"/>
    <w:rsid w:val="008B4A7C"/>
    <w:rsid w:val="008B4F12"/>
    <w:rsid w:val="008B5093"/>
    <w:rsid w:val="008B560A"/>
    <w:rsid w:val="008B56AD"/>
    <w:rsid w:val="008B5770"/>
    <w:rsid w:val="008B5D84"/>
    <w:rsid w:val="008B6AB3"/>
    <w:rsid w:val="008B6DDE"/>
    <w:rsid w:val="008C0112"/>
    <w:rsid w:val="008C0757"/>
    <w:rsid w:val="008C0EA3"/>
    <w:rsid w:val="008C1D6A"/>
    <w:rsid w:val="008C1F3D"/>
    <w:rsid w:val="008C2A30"/>
    <w:rsid w:val="008C2A5A"/>
    <w:rsid w:val="008C2F86"/>
    <w:rsid w:val="008C3ACA"/>
    <w:rsid w:val="008C3E3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5BA4"/>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3AE5"/>
    <w:rsid w:val="008F409A"/>
    <w:rsid w:val="008F441C"/>
    <w:rsid w:val="008F482E"/>
    <w:rsid w:val="008F4D2B"/>
    <w:rsid w:val="008F4F49"/>
    <w:rsid w:val="008F5B43"/>
    <w:rsid w:val="008F5E1F"/>
    <w:rsid w:val="008F6225"/>
    <w:rsid w:val="008F6BD2"/>
    <w:rsid w:val="008F6F22"/>
    <w:rsid w:val="008F7BD0"/>
    <w:rsid w:val="00900735"/>
    <w:rsid w:val="00900C64"/>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BD4"/>
    <w:rsid w:val="00911A57"/>
    <w:rsid w:val="00912B20"/>
    <w:rsid w:val="00912BCC"/>
    <w:rsid w:val="00913C24"/>
    <w:rsid w:val="00913C8B"/>
    <w:rsid w:val="00914380"/>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631"/>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5F5"/>
    <w:rsid w:val="00925C07"/>
    <w:rsid w:val="00925C6A"/>
    <w:rsid w:val="0092655D"/>
    <w:rsid w:val="00926617"/>
    <w:rsid w:val="0092670C"/>
    <w:rsid w:val="00926A53"/>
    <w:rsid w:val="009276FF"/>
    <w:rsid w:val="00927944"/>
    <w:rsid w:val="00927D22"/>
    <w:rsid w:val="0093069A"/>
    <w:rsid w:val="00930BD6"/>
    <w:rsid w:val="009310E0"/>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17D"/>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6FEF"/>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87ECA"/>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0C4"/>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2EA"/>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3FB"/>
    <w:rsid w:val="009E7621"/>
    <w:rsid w:val="009E7625"/>
    <w:rsid w:val="009E78EF"/>
    <w:rsid w:val="009E7C23"/>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203"/>
    <w:rsid w:val="00A004F6"/>
    <w:rsid w:val="00A00609"/>
    <w:rsid w:val="00A0175B"/>
    <w:rsid w:val="00A019CF"/>
    <w:rsid w:val="00A026F9"/>
    <w:rsid w:val="00A029DF"/>
    <w:rsid w:val="00A02BE8"/>
    <w:rsid w:val="00A03251"/>
    <w:rsid w:val="00A03CFC"/>
    <w:rsid w:val="00A03D39"/>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703"/>
    <w:rsid w:val="00A42F04"/>
    <w:rsid w:val="00A430DF"/>
    <w:rsid w:val="00A43451"/>
    <w:rsid w:val="00A43794"/>
    <w:rsid w:val="00A43BB9"/>
    <w:rsid w:val="00A4423C"/>
    <w:rsid w:val="00A44387"/>
    <w:rsid w:val="00A44657"/>
    <w:rsid w:val="00A44B7F"/>
    <w:rsid w:val="00A44EC5"/>
    <w:rsid w:val="00A45069"/>
    <w:rsid w:val="00A455EE"/>
    <w:rsid w:val="00A45730"/>
    <w:rsid w:val="00A45858"/>
    <w:rsid w:val="00A45B2C"/>
    <w:rsid w:val="00A45C8E"/>
    <w:rsid w:val="00A46992"/>
    <w:rsid w:val="00A46A85"/>
    <w:rsid w:val="00A46DB5"/>
    <w:rsid w:val="00A46EDD"/>
    <w:rsid w:val="00A46F0B"/>
    <w:rsid w:val="00A47981"/>
    <w:rsid w:val="00A47A5C"/>
    <w:rsid w:val="00A47A8F"/>
    <w:rsid w:val="00A50003"/>
    <w:rsid w:val="00A5020C"/>
    <w:rsid w:val="00A5028D"/>
    <w:rsid w:val="00A502A9"/>
    <w:rsid w:val="00A5035C"/>
    <w:rsid w:val="00A503DA"/>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252D"/>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33"/>
    <w:rsid w:val="00A90F9A"/>
    <w:rsid w:val="00A913C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DBA"/>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1A6"/>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10"/>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D6D"/>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3B5"/>
    <w:rsid w:val="00B36AA7"/>
    <w:rsid w:val="00B37827"/>
    <w:rsid w:val="00B37ABE"/>
    <w:rsid w:val="00B37CA9"/>
    <w:rsid w:val="00B37D9A"/>
    <w:rsid w:val="00B403E4"/>
    <w:rsid w:val="00B404A0"/>
    <w:rsid w:val="00B4076A"/>
    <w:rsid w:val="00B41824"/>
    <w:rsid w:val="00B41A69"/>
    <w:rsid w:val="00B41FD5"/>
    <w:rsid w:val="00B4203B"/>
    <w:rsid w:val="00B422A9"/>
    <w:rsid w:val="00B428FD"/>
    <w:rsid w:val="00B4296E"/>
    <w:rsid w:val="00B42B1F"/>
    <w:rsid w:val="00B42C05"/>
    <w:rsid w:val="00B42DA4"/>
    <w:rsid w:val="00B4315B"/>
    <w:rsid w:val="00B43CDC"/>
    <w:rsid w:val="00B4413E"/>
    <w:rsid w:val="00B445AD"/>
    <w:rsid w:val="00B449B8"/>
    <w:rsid w:val="00B44A5B"/>
    <w:rsid w:val="00B44E72"/>
    <w:rsid w:val="00B44F81"/>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6F"/>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1CB"/>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E3C"/>
    <w:rsid w:val="00BC26B0"/>
    <w:rsid w:val="00BC2B2E"/>
    <w:rsid w:val="00BC2C21"/>
    <w:rsid w:val="00BC3093"/>
    <w:rsid w:val="00BC31B4"/>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D7C40"/>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7E2"/>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07EB6"/>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6CC5"/>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41D"/>
    <w:rsid w:val="00C26442"/>
    <w:rsid w:val="00C2679A"/>
    <w:rsid w:val="00C269FE"/>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F8"/>
    <w:rsid w:val="00C53621"/>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A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61B"/>
    <w:rsid w:val="00C679C4"/>
    <w:rsid w:val="00C7047B"/>
    <w:rsid w:val="00C70A84"/>
    <w:rsid w:val="00C70D6B"/>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5A"/>
    <w:rsid w:val="00C91E79"/>
    <w:rsid w:val="00C929B8"/>
    <w:rsid w:val="00C92DB7"/>
    <w:rsid w:val="00C92DDF"/>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0210"/>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31"/>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0DE"/>
    <w:rsid w:val="00CC3460"/>
    <w:rsid w:val="00CC3522"/>
    <w:rsid w:val="00CC39BC"/>
    <w:rsid w:val="00CC3B42"/>
    <w:rsid w:val="00CC3D59"/>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D7DFD"/>
    <w:rsid w:val="00CE047B"/>
    <w:rsid w:val="00CE08C5"/>
    <w:rsid w:val="00CE09FF"/>
    <w:rsid w:val="00CE1442"/>
    <w:rsid w:val="00CE16EF"/>
    <w:rsid w:val="00CE1816"/>
    <w:rsid w:val="00CE1D56"/>
    <w:rsid w:val="00CE1EB6"/>
    <w:rsid w:val="00CE2196"/>
    <w:rsid w:val="00CE25BF"/>
    <w:rsid w:val="00CE2D10"/>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593"/>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ED7"/>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022"/>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61F"/>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00"/>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3051"/>
    <w:rsid w:val="00DB41F8"/>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10BE8"/>
    <w:rsid w:val="00E10FBD"/>
    <w:rsid w:val="00E119CB"/>
    <w:rsid w:val="00E11D10"/>
    <w:rsid w:val="00E12C8A"/>
    <w:rsid w:val="00E13468"/>
    <w:rsid w:val="00E13490"/>
    <w:rsid w:val="00E13A67"/>
    <w:rsid w:val="00E13BCE"/>
    <w:rsid w:val="00E14DC3"/>
    <w:rsid w:val="00E1505A"/>
    <w:rsid w:val="00E151CC"/>
    <w:rsid w:val="00E15935"/>
    <w:rsid w:val="00E15AEB"/>
    <w:rsid w:val="00E15B7A"/>
    <w:rsid w:val="00E15CD9"/>
    <w:rsid w:val="00E16229"/>
    <w:rsid w:val="00E1743F"/>
    <w:rsid w:val="00E1760A"/>
    <w:rsid w:val="00E17B55"/>
    <w:rsid w:val="00E17CBB"/>
    <w:rsid w:val="00E20065"/>
    <w:rsid w:val="00E2041A"/>
    <w:rsid w:val="00E20DCD"/>
    <w:rsid w:val="00E21426"/>
    <w:rsid w:val="00E21F21"/>
    <w:rsid w:val="00E22900"/>
    <w:rsid w:val="00E22DEE"/>
    <w:rsid w:val="00E22F59"/>
    <w:rsid w:val="00E23071"/>
    <w:rsid w:val="00E23319"/>
    <w:rsid w:val="00E23B65"/>
    <w:rsid w:val="00E23CC4"/>
    <w:rsid w:val="00E24FB0"/>
    <w:rsid w:val="00E24FCA"/>
    <w:rsid w:val="00E25146"/>
    <w:rsid w:val="00E2520D"/>
    <w:rsid w:val="00E25574"/>
    <w:rsid w:val="00E25837"/>
    <w:rsid w:val="00E258F7"/>
    <w:rsid w:val="00E25967"/>
    <w:rsid w:val="00E25E87"/>
    <w:rsid w:val="00E264B3"/>
    <w:rsid w:val="00E266A5"/>
    <w:rsid w:val="00E26B51"/>
    <w:rsid w:val="00E27045"/>
    <w:rsid w:val="00E2715B"/>
    <w:rsid w:val="00E27552"/>
    <w:rsid w:val="00E301AF"/>
    <w:rsid w:val="00E30233"/>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1E98"/>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54"/>
    <w:rsid w:val="00EA4CCA"/>
    <w:rsid w:val="00EA525C"/>
    <w:rsid w:val="00EA5DAD"/>
    <w:rsid w:val="00EA5FC0"/>
    <w:rsid w:val="00EA6CB9"/>
    <w:rsid w:val="00EA70E8"/>
    <w:rsid w:val="00EA719F"/>
    <w:rsid w:val="00EA7221"/>
    <w:rsid w:val="00EA731F"/>
    <w:rsid w:val="00EA7595"/>
    <w:rsid w:val="00EA772B"/>
    <w:rsid w:val="00EB0E2E"/>
    <w:rsid w:val="00EB0E99"/>
    <w:rsid w:val="00EB0F9D"/>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70A5"/>
    <w:rsid w:val="00EC0161"/>
    <w:rsid w:val="00EC0C97"/>
    <w:rsid w:val="00EC12E5"/>
    <w:rsid w:val="00EC1A2D"/>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3F92"/>
    <w:rsid w:val="00ED40F0"/>
    <w:rsid w:val="00ED431A"/>
    <w:rsid w:val="00ED4434"/>
    <w:rsid w:val="00ED4923"/>
    <w:rsid w:val="00ED4984"/>
    <w:rsid w:val="00ED57E7"/>
    <w:rsid w:val="00ED58E2"/>
    <w:rsid w:val="00ED64E7"/>
    <w:rsid w:val="00ED67F2"/>
    <w:rsid w:val="00ED7BA6"/>
    <w:rsid w:val="00ED7C39"/>
    <w:rsid w:val="00EE0941"/>
    <w:rsid w:val="00EE0DC1"/>
    <w:rsid w:val="00EE1337"/>
    <w:rsid w:val="00EE164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B1"/>
    <w:rsid w:val="00EF2476"/>
    <w:rsid w:val="00EF2B5E"/>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1213"/>
    <w:rsid w:val="00F019A7"/>
    <w:rsid w:val="00F01BC6"/>
    <w:rsid w:val="00F0283F"/>
    <w:rsid w:val="00F0298A"/>
    <w:rsid w:val="00F029C6"/>
    <w:rsid w:val="00F03347"/>
    <w:rsid w:val="00F03C7D"/>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6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726"/>
    <w:rsid w:val="00F23D39"/>
    <w:rsid w:val="00F23EDE"/>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47D5E"/>
    <w:rsid w:val="00F50649"/>
    <w:rsid w:val="00F50C4C"/>
    <w:rsid w:val="00F50C8E"/>
    <w:rsid w:val="00F51582"/>
    <w:rsid w:val="00F52518"/>
    <w:rsid w:val="00F52D05"/>
    <w:rsid w:val="00F5325F"/>
    <w:rsid w:val="00F535AF"/>
    <w:rsid w:val="00F53E54"/>
    <w:rsid w:val="00F547A7"/>
    <w:rsid w:val="00F548E3"/>
    <w:rsid w:val="00F55880"/>
    <w:rsid w:val="00F56309"/>
    <w:rsid w:val="00F56361"/>
    <w:rsid w:val="00F56779"/>
    <w:rsid w:val="00F570DA"/>
    <w:rsid w:val="00F57B5A"/>
    <w:rsid w:val="00F57D35"/>
    <w:rsid w:val="00F6003A"/>
    <w:rsid w:val="00F60286"/>
    <w:rsid w:val="00F60636"/>
    <w:rsid w:val="00F610C8"/>
    <w:rsid w:val="00F61181"/>
    <w:rsid w:val="00F612B0"/>
    <w:rsid w:val="00F6131B"/>
    <w:rsid w:val="00F615F2"/>
    <w:rsid w:val="00F61B4C"/>
    <w:rsid w:val="00F62B23"/>
    <w:rsid w:val="00F62D9B"/>
    <w:rsid w:val="00F632CA"/>
    <w:rsid w:val="00F6362E"/>
    <w:rsid w:val="00F63C17"/>
    <w:rsid w:val="00F644EE"/>
    <w:rsid w:val="00F64DF6"/>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24F4"/>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C96"/>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B68"/>
    <w:rsid w:val="00F9750D"/>
    <w:rsid w:val="00F977AB"/>
    <w:rsid w:val="00F97824"/>
    <w:rsid w:val="00F97914"/>
    <w:rsid w:val="00FA0044"/>
    <w:rsid w:val="00FA01EA"/>
    <w:rsid w:val="00FA0A01"/>
    <w:rsid w:val="00FA0B99"/>
    <w:rsid w:val="00FA0BE9"/>
    <w:rsid w:val="00FA0E83"/>
    <w:rsid w:val="00FA0F34"/>
    <w:rsid w:val="00FA1347"/>
    <w:rsid w:val="00FA142E"/>
    <w:rsid w:val="00FA19C3"/>
    <w:rsid w:val="00FA2145"/>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1990"/>
    <w:rsid w:val="00FB21BB"/>
    <w:rsid w:val="00FB2517"/>
    <w:rsid w:val="00FB2B59"/>
    <w:rsid w:val="00FB3B01"/>
    <w:rsid w:val="00FB4113"/>
    <w:rsid w:val="00FB4353"/>
    <w:rsid w:val="00FB43BF"/>
    <w:rsid w:val="00FB4C14"/>
    <w:rsid w:val="00FB4D9D"/>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61D"/>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8CEB1E"/>
  <w15:chartTrackingRefBased/>
  <w15:docId w15:val="{D4FA95F7-71C6-4B4D-8E66-6C3B2C19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table" w:styleId="TableProfessional">
    <w:name w:val="Table Professional"/>
    <w:basedOn w:val="TableNormal"/>
    <w:rsid w:val="00BD7C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1962557">
      <w:bodyDiv w:val="1"/>
      <w:marLeft w:val="0"/>
      <w:marRight w:val="0"/>
      <w:marTop w:val="0"/>
      <w:marBottom w:val="0"/>
      <w:divBdr>
        <w:top w:val="none" w:sz="0" w:space="0" w:color="auto"/>
        <w:left w:val="none" w:sz="0" w:space="0" w:color="auto"/>
        <w:bottom w:val="none" w:sz="0" w:space="0" w:color="auto"/>
        <w:right w:val="none" w:sz="0" w:space="0" w:color="auto"/>
      </w:divBdr>
      <w:divsChild>
        <w:div w:id="1222523378">
          <w:marLeft w:val="0"/>
          <w:marRight w:val="0"/>
          <w:marTop w:val="0"/>
          <w:marBottom w:val="0"/>
          <w:divBdr>
            <w:top w:val="none" w:sz="0" w:space="0" w:color="auto"/>
            <w:left w:val="none" w:sz="0" w:space="0" w:color="auto"/>
            <w:bottom w:val="none" w:sz="0" w:space="0" w:color="auto"/>
            <w:right w:val="none" w:sz="0" w:space="0" w:color="auto"/>
          </w:divBdr>
          <w:divsChild>
            <w:div w:id="1403020617">
              <w:marLeft w:val="0"/>
              <w:marRight w:val="0"/>
              <w:marTop w:val="0"/>
              <w:marBottom w:val="0"/>
              <w:divBdr>
                <w:top w:val="none" w:sz="0" w:space="0" w:color="auto"/>
                <w:left w:val="none" w:sz="0" w:space="0" w:color="auto"/>
                <w:bottom w:val="none" w:sz="0" w:space="0" w:color="auto"/>
                <w:right w:val="none" w:sz="0" w:space="0" w:color="auto"/>
              </w:divBdr>
              <w:divsChild>
                <w:div w:id="1794447664">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738366">
      <w:bodyDiv w:val="1"/>
      <w:marLeft w:val="0"/>
      <w:marRight w:val="0"/>
      <w:marTop w:val="0"/>
      <w:marBottom w:val="0"/>
      <w:divBdr>
        <w:top w:val="none" w:sz="0" w:space="0" w:color="auto"/>
        <w:left w:val="none" w:sz="0" w:space="0" w:color="auto"/>
        <w:bottom w:val="none" w:sz="0" w:space="0" w:color="auto"/>
        <w:right w:val="none" w:sz="0" w:space="0" w:color="auto"/>
      </w:divBdr>
      <w:divsChild>
        <w:div w:id="222448052">
          <w:marLeft w:val="0"/>
          <w:marRight w:val="0"/>
          <w:marTop w:val="0"/>
          <w:marBottom w:val="0"/>
          <w:divBdr>
            <w:top w:val="none" w:sz="0" w:space="0" w:color="auto"/>
            <w:left w:val="none" w:sz="0" w:space="0" w:color="auto"/>
            <w:bottom w:val="none" w:sz="0" w:space="0" w:color="auto"/>
            <w:right w:val="none" w:sz="0" w:space="0" w:color="auto"/>
          </w:divBdr>
          <w:divsChild>
            <w:div w:id="1222981996">
              <w:marLeft w:val="0"/>
              <w:marRight w:val="0"/>
              <w:marTop w:val="0"/>
              <w:marBottom w:val="0"/>
              <w:divBdr>
                <w:top w:val="none" w:sz="0" w:space="0" w:color="auto"/>
                <w:left w:val="none" w:sz="0" w:space="0" w:color="auto"/>
                <w:bottom w:val="none" w:sz="0" w:space="0" w:color="auto"/>
                <w:right w:val="none" w:sz="0" w:space="0" w:color="auto"/>
              </w:divBdr>
              <w:divsChild>
                <w:div w:id="1455975747">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486898238">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0635002">
      <w:bodyDiv w:val="1"/>
      <w:marLeft w:val="0"/>
      <w:marRight w:val="0"/>
      <w:marTop w:val="0"/>
      <w:marBottom w:val="0"/>
      <w:divBdr>
        <w:top w:val="none" w:sz="0" w:space="0" w:color="auto"/>
        <w:left w:val="none" w:sz="0" w:space="0" w:color="auto"/>
        <w:bottom w:val="none" w:sz="0" w:space="0" w:color="auto"/>
        <w:right w:val="none" w:sz="0" w:space="0" w:color="auto"/>
      </w:divBdr>
      <w:divsChild>
        <w:div w:id="885917180">
          <w:marLeft w:val="0"/>
          <w:marRight w:val="0"/>
          <w:marTop w:val="0"/>
          <w:marBottom w:val="0"/>
          <w:divBdr>
            <w:top w:val="none" w:sz="0" w:space="0" w:color="auto"/>
            <w:left w:val="none" w:sz="0" w:space="0" w:color="auto"/>
            <w:bottom w:val="none" w:sz="0" w:space="0" w:color="auto"/>
            <w:right w:val="none" w:sz="0" w:space="0" w:color="auto"/>
          </w:divBdr>
          <w:divsChild>
            <w:div w:id="1845436686">
              <w:marLeft w:val="0"/>
              <w:marRight w:val="0"/>
              <w:marTop w:val="0"/>
              <w:marBottom w:val="0"/>
              <w:divBdr>
                <w:top w:val="none" w:sz="0" w:space="0" w:color="auto"/>
                <w:left w:val="none" w:sz="0" w:space="0" w:color="auto"/>
                <w:bottom w:val="none" w:sz="0" w:space="0" w:color="auto"/>
                <w:right w:val="none" w:sz="0" w:space="0" w:color="auto"/>
              </w:divBdr>
              <w:divsChild>
                <w:div w:id="1014070140">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9409135">
      <w:bodyDiv w:val="1"/>
      <w:marLeft w:val="0"/>
      <w:marRight w:val="0"/>
      <w:marTop w:val="0"/>
      <w:marBottom w:val="0"/>
      <w:divBdr>
        <w:top w:val="none" w:sz="0" w:space="0" w:color="auto"/>
        <w:left w:val="none" w:sz="0" w:space="0" w:color="auto"/>
        <w:bottom w:val="none" w:sz="0" w:space="0" w:color="auto"/>
        <w:right w:val="none" w:sz="0" w:space="0" w:color="auto"/>
      </w:divBdr>
      <w:divsChild>
        <w:div w:id="1675187740">
          <w:marLeft w:val="0"/>
          <w:marRight w:val="0"/>
          <w:marTop w:val="0"/>
          <w:marBottom w:val="0"/>
          <w:divBdr>
            <w:top w:val="none" w:sz="0" w:space="0" w:color="auto"/>
            <w:left w:val="none" w:sz="0" w:space="0" w:color="auto"/>
            <w:bottom w:val="none" w:sz="0" w:space="0" w:color="auto"/>
            <w:right w:val="none" w:sz="0" w:space="0" w:color="auto"/>
          </w:divBdr>
          <w:divsChild>
            <w:div w:id="966550604">
              <w:marLeft w:val="0"/>
              <w:marRight w:val="0"/>
              <w:marTop w:val="0"/>
              <w:marBottom w:val="0"/>
              <w:divBdr>
                <w:top w:val="none" w:sz="0" w:space="0" w:color="auto"/>
                <w:left w:val="none" w:sz="0" w:space="0" w:color="auto"/>
                <w:bottom w:val="none" w:sz="0" w:space="0" w:color="auto"/>
                <w:right w:val="none" w:sz="0" w:space="0" w:color="auto"/>
              </w:divBdr>
              <w:divsChild>
                <w:div w:id="1986815592">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0369095">
      <w:bodyDiv w:val="1"/>
      <w:marLeft w:val="0"/>
      <w:marRight w:val="0"/>
      <w:marTop w:val="0"/>
      <w:marBottom w:val="0"/>
      <w:divBdr>
        <w:top w:val="none" w:sz="0" w:space="0" w:color="auto"/>
        <w:left w:val="none" w:sz="0" w:space="0" w:color="auto"/>
        <w:bottom w:val="none" w:sz="0" w:space="0" w:color="auto"/>
        <w:right w:val="none" w:sz="0" w:space="0" w:color="auto"/>
      </w:divBdr>
      <w:divsChild>
        <w:div w:id="762603235">
          <w:marLeft w:val="0"/>
          <w:marRight w:val="0"/>
          <w:marTop w:val="0"/>
          <w:marBottom w:val="0"/>
          <w:divBdr>
            <w:top w:val="none" w:sz="0" w:space="0" w:color="auto"/>
            <w:left w:val="none" w:sz="0" w:space="0" w:color="auto"/>
            <w:bottom w:val="none" w:sz="0" w:space="0" w:color="auto"/>
            <w:right w:val="none" w:sz="0" w:space="0" w:color="auto"/>
          </w:divBdr>
          <w:divsChild>
            <w:div w:id="895361778">
              <w:marLeft w:val="0"/>
              <w:marRight w:val="0"/>
              <w:marTop w:val="0"/>
              <w:marBottom w:val="0"/>
              <w:divBdr>
                <w:top w:val="none" w:sz="0" w:space="0" w:color="auto"/>
                <w:left w:val="none" w:sz="0" w:space="0" w:color="auto"/>
                <w:bottom w:val="none" w:sz="0" w:space="0" w:color="auto"/>
                <w:right w:val="none" w:sz="0" w:space="0" w:color="auto"/>
              </w:divBdr>
              <w:divsChild>
                <w:div w:id="2142073525">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574197">
      <w:bodyDiv w:val="1"/>
      <w:marLeft w:val="0"/>
      <w:marRight w:val="0"/>
      <w:marTop w:val="0"/>
      <w:marBottom w:val="0"/>
      <w:divBdr>
        <w:top w:val="none" w:sz="0" w:space="0" w:color="auto"/>
        <w:left w:val="none" w:sz="0" w:space="0" w:color="auto"/>
        <w:bottom w:val="none" w:sz="0" w:space="0" w:color="auto"/>
        <w:right w:val="none" w:sz="0" w:space="0" w:color="auto"/>
      </w:divBdr>
      <w:divsChild>
        <w:div w:id="491144021">
          <w:marLeft w:val="0"/>
          <w:marRight w:val="0"/>
          <w:marTop w:val="0"/>
          <w:marBottom w:val="0"/>
          <w:divBdr>
            <w:top w:val="none" w:sz="0" w:space="0" w:color="auto"/>
            <w:left w:val="none" w:sz="0" w:space="0" w:color="auto"/>
            <w:bottom w:val="none" w:sz="0" w:space="0" w:color="auto"/>
            <w:right w:val="none" w:sz="0" w:space="0" w:color="auto"/>
          </w:divBdr>
          <w:divsChild>
            <w:div w:id="1848595616">
              <w:marLeft w:val="0"/>
              <w:marRight w:val="0"/>
              <w:marTop w:val="0"/>
              <w:marBottom w:val="0"/>
              <w:divBdr>
                <w:top w:val="none" w:sz="0" w:space="0" w:color="auto"/>
                <w:left w:val="none" w:sz="0" w:space="0" w:color="auto"/>
                <w:bottom w:val="none" w:sz="0" w:space="0" w:color="auto"/>
                <w:right w:val="none" w:sz="0" w:space="0" w:color="auto"/>
              </w:divBdr>
              <w:divsChild>
                <w:div w:id="779882873">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2076750">
      <w:bodyDiv w:val="1"/>
      <w:marLeft w:val="0"/>
      <w:marRight w:val="0"/>
      <w:marTop w:val="0"/>
      <w:marBottom w:val="0"/>
      <w:divBdr>
        <w:top w:val="none" w:sz="0" w:space="0" w:color="auto"/>
        <w:left w:val="none" w:sz="0" w:space="0" w:color="auto"/>
        <w:bottom w:val="none" w:sz="0" w:space="0" w:color="auto"/>
        <w:right w:val="none" w:sz="0" w:space="0" w:color="auto"/>
      </w:divBdr>
      <w:divsChild>
        <w:div w:id="389040041">
          <w:marLeft w:val="0"/>
          <w:marRight w:val="0"/>
          <w:marTop w:val="0"/>
          <w:marBottom w:val="0"/>
          <w:divBdr>
            <w:top w:val="none" w:sz="0" w:space="0" w:color="auto"/>
            <w:left w:val="none" w:sz="0" w:space="0" w:color="auto"/>
            <w:bottom w:val="none" w:sz="0" w:space="0" w:color="auto"/>
            <w:right w:val="none" w:sz="0" w:space="0" w:color="auto"/>
          </w:divBdr>
          <w:divsChild>
            <w:div w:id="444353518">
              <w:marLeft w:val="0"/>
              <w:marRight w:val="0"/>
              <w:marTop w:val="0"/>
              <w:marBottom w:val="0"/>
              <w:divBdr>
                <w:top w:val="none" w:sz="0" w:space="0" w:color="auto"/>
                <w:left w:val="none" w:sz="0" w:space="0" w:color="auto"/>
                <w:bottom w:val="none" w:sz="0" w:space="0" w:color="auto"/>
                <w:right w:val="none" w:sz="0" w:space="0" w:color="auto"/>
              </w:divBdr>
              <w:divsChild>
                <w:div w:id="1191989664">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6950940">
      <w:bodyDiv w:val="1"/>
      <w:marLeft w:val="0"/>
      <w:marRight w:val="0"/>
      <w:marTop w:val="0"/>
      <w:marBottom w:val="0"/>
      <w:divBdr>
        <w:top w:val="none" w:sz="0" w:space="0" w:color="auto"/>
        <w:left w:val="none" w:sz="0" w:space="0" w:color="auto"/>
        <w:bottom w:val="none" w:sz="0" w:space="0" w:color="auto"/>
        <w:right w:val="none" w:sz="0" w:space="0" w:color="auto"/>
      </w:divBdr>
      <w:divsChild>
        <w:div w:id="557716010">
          <w:marLeft w:val="0"/>
          <w:marRight w:val="0"/>
          <w:marTop w:val="0"/>
          <w:marBottom w:val="0"/>
          <w:divBdr>
            <w:top w:val="none" w:sz="0" w:space="0" w:color="auto"/>
            <w:left w:val="none" w:sz="0" w:space="0" w:color="auto"/>
            <w:bottom w:val="none" w:sz="0" w:space="0" w:color="auto"/>
            <w:right w:val="none" w:sz="0" w:space="0" w:color="auto"/>
          </w:divBdr>
          <w:divsChild>
            <w:div w:id="1681929374">
              <w:marLeft w:val="0"/>
              <w:marRight w:val="0"/>
              <w:marTop w:val="0"/>
              <w:marBottom w:val="0"/>
              <w:divBdr>
                <w:top w:val="none" w:sz="0" w:space="0" w:color="auto"/>
                <w:left w:val="none" w:sz="0" w:space="0" w:color="auto"/>
                <w:bottom w:val="none" w:sz="0" w:space="0" w:color="auto"/>
                <w:right w:val="none" w:sz="0" w:space="0" w:color="auto"/>
              </w:divBdr>
              <w:divsChild>
                <w:div w:id="109858771">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29407-B629-4FFF-8F9A-E3692A707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7186C7EC-8BBA-446D-9AE9-79EC9FA0284E}">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2a6d68b1-f7aa-4b67-96a6-b9a905dcefc0"/>
    <ds:schemaRef ds:uri="http://www.w3.org/XML/1998/namespace"/>
    <ds:schemaRef ds:uri="http://purl.org/dc/terms/"/>
  </ds:schemaRefs>
</ds:datastoreItem>
</file>

<file path=customXml/itemProps4.xml><?xml version="1.0" encoding="utf-8"?>
<ds:datastoreItem xmlns:ds="http://schemas.openxmlformats.org/officeDocument/2006/customXml" ds:itemID="{44800D19-A360-47EB-AB7D-C1ECB7C2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1599</Words>
  <Characters>8478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2020-04-10T17:43:00Z</dcterms:created>
  <dcterms:modified xsi:type="dcterms:W3CDTF">2020-04-10T17:43:00Z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